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Cs w:val="21"/>
        </w:rPr>
      </w:pPr>
      <w:r>
        <w:rPr>
          <w:rFonts w:hint="eastAsia" w:ascii="黑体" w:hAnsi="黑体" w:eastAsia="黑体"/>
          <w:szCs w:val="21"/>
        </w:rPr>
        <w:t>I</w:t>
      </w:r>
      <w:r>
        <w:rPr>
          <w:rFonts w:ascii="黑体" w:hAnsi="黑体" w:eastAsia="黑体"/>
          <w:szCs w:val="21"/>
        </w:rPr>
        <w:t>CS</w:t>
      </w:r>
      <w:r>
        <w:rPr>
          <w:rFonts w:hint="eastAsia" w:ascii="黑体" w:hAnsi="黑体" w:eastAsia="黑体"/>
          <w:szCs w:val="21"/>
        </w:rPr>
        <w:t>号</w:t>
      </w:r>
    </w:p>
    <w:p>
      <w:pPr>
        <w:jc w:val="left"/>
        <w:rPr>
          <w:rFonts w:ascii="黑体" w:hAnsi="黑体" w:eastAsia="黑体"/>
          <w:szCs w:val="21"/>
        </w:rPr>
      </w:pPr>
      <w:r>
        <w:rPr>
          <w:rFonts w:hint="eastAsia" w:ascii="黑体" w:hAnsi="黑体" w:eastAsia="黑体"/>
          <w:szCs w:val="21"/>
        </w:rPr>
        <w:t>中国标准文献分类号</w:t>
      </w:r>
    </w:p>
    <w:p>
      <w:pPr>
        <w:jc w:val="left"/>
        <w:rPr>
          <w:rFonts w:ascii="宋体" w:hAnsi="宋体" w:eastAsia="宋体"/>
          <w:sz w:val="24"/>
          <w:szCs w:val="24"/>
        </w:rPr>
      </w:pPr>
    </w:p>
    <w:p>
      <w:pPr>
        <w:jc w:val="left"/>
        <w:rPr>
          <w:rFonts w:ascii="宋体" w:hAnsi="宋体" w:eastAsia="宋体"/>
          <w:sz w:val="24"/>
          <w:szCs w:val="24"/>
        </w:rPr>
      </w:pPr>
    </w:p>
    <w:p>
      <w:pPr>
        <w:jc w:val="center"/>
        <w:rPr>
          <w:rFonts w:ascii="黑体" w:hAnsi="黑体" w:eastAsia="黑体"/>
          <w:sz w:val="44"/>
          <w:szCs w:val="44"/>
        </w:rPr>
      </w:pPr>
      <w:r>
        <w:rPr>
          <w:rFonts w:hint="eastAsia" w:ascii="黑体" w:hAnsi="黑体" w:eastAsia="黑体"/>
          <w:sz w:val="44"/>
          <w:szCs w:val="44"/>
        </w:rPr>
        <w:t>广州市国资国企创新战略联盟团体标准</w:t>
      </w:r>
    </w:p>
    <w:p>
      <w:pPr>
        <w:jc w:val="left"/>
        <w:rPr>
          <w:rFonts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T/</w:t>
      </w:r>
      <w:r>
        <w:rPr>
          <w:rFonts w:ascii="宋体" w:hAnsi="宋体" w:eastAsia="宋体"/>
          <w:sz w:val="24"/>
          <w:szCs w:val="24"/>
        </w:rPr>
        <w:t>GZCXLM 001</w:t>
      </w:r>
      <w:r>
        <w:rPr>
          <w:rFonts w:hint="eastAsia" w:ascii="宋体" w:hAnsi="宋体" w:eastAsia="宋体"/>
          <w:sz w:val="24"/>
          <w:szCs w:val="24"/>
        </w:rPr>
        <w:t>.</w:t>
      </w:r>
      <w:r>
        <w:rPr>
          <w:rFonts w:ascii="宋体" w:hAnsi="宋体" w:eastAsia="宋体"/>
          <w:sz w:val="24"/>
          <w:szCs w:val="24"/>
        </w:rPr>
        <w:t>2-2020</w:t>
      </w:r>
    </w:p>
    <w:p>
      <w:pPr>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120650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9.5pt;height:0pt;width:468pt;mso-position-horizontal-relative:margin;z-index:251659264;mso-width-relative:page;mso-height-relative:page;" filled="f" stroked="t" coordsize="21600,21600" o:gfxdata="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h8aA1AAAAAcBAAAP&#10;AAAAAAAAAAEAIAAAACIAAABkcnMvZG93bnJldi54bWxQSwECFAAUAAAACACHTuJAkLdaA+MBAACy&#10;AwAADgAAAAAAAAABACAAAAAjAQAAZHJzL2Uyb0RvYy54bWxQSwUGAAAAAAYABgBZAQAAeAUAAAAA&#10;">
                <v:fill on="f" focussize="0,0"/>
                <v:stroke weight="1.25pt" color="#000000 [3213]" miterlimit="8" joinstyle="miter"/>
                <v:imagedata o:title=""/>
                <o:lock v:ext="edit" aspectratio="f"/>
              </v:line>
            </w:pict>
          </mc:Fallback>
        </mc:AlternateConten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center"/>
        <w:rPr>
          <w:rFonts w:ascii="宋体" w:hAnsi="宋体" w:eastAsia="宋体"/>
          <w:sz w:val="52"/>
          <w:szCs w:val="52"/>
        </w:rPr>
      </w:pPr>
      <w:r>
        <w:rPr>
          <w:rFonts w:hint="eastAsia" w:ascii="宋体" w:hAnsi="宋体" w:eastAsia="宋体"/>
          <w:sz w:val="52"/>
          <w:szCs w:val="52"/>
        </w:rPr>
        <w:t>广州品牌评价</w:t>
      </w:r>
    </w:p>
    <w:p>
      <w:pPr>
        <w:jc w:val="center"/>
        <w:rPr>
          <w:rFonts w:ascii="宋体" w:hAnsi="宋体" w:eastAsia="宋体"/>
          <w:sz w:val="52"/>
          <w:szCs w:val="52"/>
        </w:rPr>
      </w:pPr>
      <w:r>
        <w:rPr>
          <w:rFonts w:hint="eastAsia" w:ascii="宋体" w:hAnsi="宋体" w:eastAsia="宋体"/>
          <w:sz w:val="52"/>
          <w:szCs w:val="52"/>
        </w:rPr>
        <w:t>第2部分：特殊要求</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snapToGrid w:val="0"/>
        <w:ind w:left="-418" w:leftChars="-199" w:right="456" w:rightChars="217" w:firstLine="417" w:firstLineChars="174"/>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88265</wp:posOffset>
                </wp:positionV>
                <wp:extent cx="59150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9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6.95pt;height:0pt;width:465.75pt;mso-position-horizontal-relative:margin;z-index:251660288;mso-width-relative:page;mso-height-relative:page;" filled="f" stroked="t" coordsize="21600,21600" o:gfxdata="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Mbfp&#10;1QAAAAcBAAAPAAAAAAAAAAEAIAAAACIAAABkcnMvZG93bnJldi54bWxQSwECFAAUAAAACACHTuJA&#10;a79rb+sBAAC7AwAADgAAAAAAAAABACAAAAAkAQAAZHJzL2Uyb0RvYy54bWxQSwUGAAAAAAYABgBZ&#10;AQAAgQUAAAAA&#10;">
                <v:fill on="f" focussize="0,0"/>
                <v:stroke weight="0.5pt" color="#000000 [3213]" miterlimit="8" joinstyle="miter"/>
                <v:imagedata o:title=""/>
                <o:lock v:ext="edit" aspectratio="f"/>
              </v:line>
            </w:pict>
          </mc:Fallback>
        </mc:AlternateContent>
      </w:r>
    </w:p>
    <w:p>
      <w:pPr>
        <w:jc w:val="both"/>
        <w:rPr>
          <w:rFonts w:hint="eastAsia" w:ascii="黑体" w:hAnsi="黑体" w:eastAsia="黑体"/>
          <w:sz w:val="32"/>
          <w:szCs w:val="32"/>
        </w:rPr>
      </w:pPr>
      <w:bookmarkStart w:id="17" w:name="_GoBack"/>
      <w:bookmarkEnd w:id="17"/>
    </w:p>
    <w:p>
      <w:pPr>
        <w:jc w:val="center"/>
        <w:rPr>
          <w:rFonts w:hint="eastAsia" w:ascii="黑体" w:hAnsi="黑体" w:eastAsia="黑体"/>
          <w:sz w:val="32"/>
          <w:szCs w:val="32"/>
          <w:lang w:eastAsia="zh-CN"/>
        </w:rPr>
      </w:pPr>
      <w:r>
        <w:rPr>
          <w:rFonts w:hint="eastAsia" w:ascii="黑体" w:hAnsi="黑体" w:eastAsia="黑体"/>
          <w:sz w:val="32"/>
          <w:szCs w:val="32"/>
        </w:rPr>
        <w:t xml:space="preserve">目 </w:t>
      </w:r>
      <w:r>
        <w:rPr>
          <w:rFonts w:hint="eastAsia" w:ascii="黑体" w:hAnsi="黑体" w:eastAsia="黑体"/>
          <w:sz w:val="32"/>
          <w:szCs w:val="32"/>
          <w:lang w:eastAsia="zh-CN"/>
        </w:rPr>
        <w:t>录</w:t>
      </w:r>
    </w:p>
    <w:p>
      <w:pPr>
        <w:rPr>
          <w:rFonts w:ascii="宋体" w:hAnsi="宋体" w:eastAsia="宋体"/>
          <w:szCs w:val="21"/>
        </w:rPr>
      </w:pPr>
    </w:p>
    <w:p>
      <w:pPr>
        <w:pStyle w:val="7"/>
        <w:tabs>
          <w:tab w:val="right" w:leader="dot" w:pos="9344"/>
        </w:tabs>
        <w:spacing w:line="360" w:lineRule="auto"/>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TOC \o "1-3" \h \z \u </w:instrText>
      </w:r>
      <w:r>
        <w:rPr>
          <w:rFonts w:ascii="宋体" w:hAnsi="宋体" w:eastAsia="宋体"/>
          <w:szCs w:val="21"/>
        </w:rPr>
        <w:fldChar w:fldCharType="separate"/>
      </w:r>
      <w:r>
        <w:fldChar w:fldCharType="begin"/>
      </w:r>
      <w:r>
        <w:instrText xml:space="preserve"> HYPERLINK \l "_Toc47270879" </w:instrText>
      </w:r>
      <w:r>
        <w:fldChar w:fldCharType="separate"/>
      </w:r>
      <w:r>
        <w:rPr>
          <w:rStyle w:val="12"/>
          <w:rFonts w:ascii="宋体" w:hAnsi="宋体" w:eastAsia="宋体"/>
          <w:szCs w:val="21"/>
        </w:rPr>
        <w:t>前言</w:t>
      </w:r>
      <w:r>
        <w:rPr>
          <w:rFonts w:ascii="宋体" w:hAnsi="宋体" w:eastAsia="宋体"/>
          <w:szCs w:val="21"/>
        </w:rPr>
        <w:tab/>
      </w:r>
      <w:r>
        <w:rPr>
          <w:rFonts w:hint="eastAsia" w:ascii="宋体" w:hAnsi="宋体" w:eastAsia="宋体"/>
          <w:szCs w:val="21"/>
          <w:lang w:val="en-US" w:eastAsia="zh-CN"/>
        </w:rPr>
        <w:t>I</w:t>
      </w:r>
      <w:r>
        <w:rPr>
          <w:rFonts w:ascii="宋体" w:hAnsi="宋体" w:eastAsia="宋体"/>
          <w:szCs w:val="21"/>
        </w:rPr>
        <w:fldChar w:fldCharType="end"/>
      </w:r>
    </w:p>
    <w:p>
      <w:pPr>
        <w:pStyle w:val="7"/>
        <w:tabs>
          <w:tab w:val="right" w:leader="dot" w:pos="9344"/>
        </w:tabs>
        <w:spacing w:line="360" w:lineRule="auto"/>
        <w:rPr>
          <w:rFonts w:hint="eastAsia" w:ascii="宋体" w:hAnsi="宋体" w:eastAsia="宋体"/>
          <w:szCs w:val="21"/>
          <w:lang w:val="en-US" w:eastAsia="zh-CN"/>
        </w:rPr>
      </w:pPr>
      <w:r>
        <w:fldChar w:fldCharType="begin"/>
      </w:r>
      <w:r>
        <w:instrText xml:space="preserve"> HYPERLINK \l "_Toc47270880" </w:instrText>
      </w:r>
      <w:r>
        <w:fldChar w:fldCharType="separate"/>
      </w:r>
      <w:r>
        <w:rPr>
          <w:rStyle w:val="12"/>
          <w:rFonts w:ascii="宋体" w:hAnsi="宋体" w:eastAsia="宋体"/>
          <w:szCs w:val="21"/>
        </w:rPr>
        <w:t>1 范围</w:t>
      </w:r>
      <w:r>
        <w:rPr>
          <w:rFonts w:ascii="宋体" w:hAnsi="宋体" w:eastAsia="宋体"/>
          <w:szCs w:val="21"/>
        </w:rPr>
        <w:tab/>
      </w:r>
      <w:r>
        <w:rPr>
          <w:rFonts w:hint="eastAsia" w:ascii="宋体" w:hAnsi="宋体" w:eastAsia="宋体"/>
          <w:szCs w:val="21"/>
          <w:lang w:val="en-US" w:eastAsia="zh-CN"/>
        </w:rPr>
        <w:t>1</w:t>
      </w:r>
      <w:r>
        <w:rPr>
          <w:rFonts w:ascii="宋体" w:hAnsi="宋体" w:eastAsia="宋体"/>
          <w:szCs w:val="21"/>
        </w:rPr>
        <w:fldChar w:fldCharType="end"/>
      </w:r>
    </w:p>
    <w:p>
      <w:pPr>
        <w:pStyle w:val="7"/>
        <w:tabs>
          <w:tab w:val="right" w:leader="dot" w:pos="9344"/>
        </w:tabs>
        <w:spacing w:line="360" w:lineRule="auto"/>
        <w:rPr>
          <w:rFonts w:hint="eastAsia" w:ascii="宋体" w:hAnsi="宋体" w:eastAsia="宋体"/>
          <w:szCs w:val="21"/>
          <w:lang w:val="en-US" w:eastAsia="zh-CN"/>
        </w:rPr>
      </w:pPr>
      <w:r>
        <w:fldChar w:fldCharType="begin"/>
      </w:r>
      <w:r>
        <w:instrText xml:space="preserve"> HYPERLINK \l "_Toc47270881" </w:instrText>
      </w:r>
      <w:r>
        <w:fldChar w:fldCharType="separate"/>
      </w:r>
      <w:r>
        <w:rPr>
          <w:rStyle w:val="12"/>
          <w:rFonts w:ascii="宋体" w:hAnsi="宋体" w:eastAsia="宋体"/>
          <w:szCs w:val="21"/>
        </w:rPr>
        <w:t>2 规范性引用文件</w:t>
      </w:r>
      <w:r>
        <w:rPr>
          <w:rFonts w:ascii="宋体" w:hAnsi="宋体" w:eastAsia="宋体"/>
          <w:szCs w:val="21"/>
        </w:rPr>
        <w:tab/>
      </w:r>
      <w:r>
        <w:rPr>
          <w:rFonts w:hint="eastAsia" w:ascii="宋体" w:hAnsi="宋体" w:eastAsia="宋体"/>
          <w:szCs w:val="21"/>
          <w:lang w:val="en-US" w:eastAsia="zh-CN"/>
        </w:rPr>
        <w:t>1</w:t>
      </w:r>
      <w:r>
        <w:rPr>
          <w:rFonts w:ascii="宋体" w:hAnsi="宋体" w:eastAsia="宋体"/>
          <w:szCs w:val="21"/>
        </w:rPr>
        <w:fldChar w:fldCharType="end"/>
      </w:r>
    </w:p>
    <w:p>
      <w:pPr>
        <w:pStyle w:val="7"/>
        <w:tabs>
          <w:tab w:val="right" w:leader="dot" w:pos="9344"/>
        </w:tabs>
        <w:spacing w:line="360" w:lineRule="auto"/>
        <w:rPr>
          <w:rFonts w:ascii="宋体" w:hAnsi="宋体" w:eastAsia="宋体"/>
          <w:szCs w:val="21"/>
        </w:rPr>
      </w:pPr>
      <w:r>
        <w:fldChar w:fldCharType="begin"/>
      </w:r>
      <w:r>
        <w:instrText xml:space="preserve"> HYPERLINK \l "_Toc47270882" </w:instrText>
      </w:r>
      <w:r>
        <w:fldChar w:fldCharType="separate"/>
      </w:r>
      <w:r>
        <w:rPr>
          <w:rStyle w:val="12"/>
          <w:rFonts w:ascii="宋体" w:hAnsi="宋体" w:eastAsia="宋体"/>
          <w:szCs w:val="21"/>
        </w:rPr>
        <w:t>3 术语和定义</w:t>
      </w:r>
      <w:r>
        <w:rPr>
          <w:rFonts w:ascii="宋体" w:hAnsi="宋体" w:eastAsia="宋体"/>
          <w:szCs w:val="21"/>
        </w:rPr>
        <w:tab/>
      </w:r>
      <w:r>
        <w:rPr>
          <w:rFonts w:hint="eastAsia" w:ascii="宋体" w:hAnsi="宋体" w:eastAsia="宋体"/>
          <w:szCs w:val="21"/>
          <w:lang w:val="en-US" w:eastAsia="zh-CN"/>
        </w:rPr>
        <w:t>1</w:t>
      </w:r>
      <w:r>
        <w:rPr>
          <w:rFonts w:ascii="宋体" w:hAnsi="宋体" w:eastAsia="宋体"/>
          <w:szCs w:val="21"/>
        </w:rPr>
        <w:fldChar w:fldCharType="end"/>
      </w:r>
    </w:p>
    <w:p>
      <w:pPr>
        <w:pStyle w:val="7"/>
        <w:tabs>
          <w:tab w:val="right" w:leader="dot" w:pos="9344"/>
        </w:tabs>
        <w:spacing w:line="360" w:lineRule="auto"/>
        <w:rPr>
          <w:rFonts w:ascii="宋体" w:hAnsi="宋体" w:eastAsia="宋体"/>
          <w:szCs w:val="21"/>
        </w:rPr>
      </w:pPr>
      <w:r>
        <w:fldChar w:fldCharType="begin"/>
      </w:r>
      <w:r>
        <w:instrText xml:space="preserve"> HYPERLINK \l "_Toc47270883" </w:instrText>
      </w:r>
      <w:r>
        <w:fldChar w:fldCharType="separate"/>
      </w:r>
      <w:r>
        <w:rPr>
          <w:rStyle w:val="12"/>
          <w:rFonts w:ascii="宋体" w:hAnsi="宋体" w:eastAsia="宋体"/>
          <w:szCs w:val="21"/>
        </w:rPr>
        <w:t>4 评价原则</w:t>
      </w:r>
      <w:r>
        <w:rPr>
          <w:rFonts w:ascii="宋体" w:hAnsi="宋体" w:eastAsia="宋体"/>
          <w:szCs w:val="21"/>
        </w:rPr>
        <w:tab/>
      </w:r>
      <w:r>
        <w:rPr>
          <w:rFonts w:hint="eastAsia" w:ascii="宋体" w:hAnsi="宋体" w:eastAsia="宋体"/>
          <w:szCs w:val="21"/>
          <w:lang w:val="en-US" w:eastAsia="zh-CN"/>
        </w:rPr>
        <w:t>2</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"_Toc47270884" </w:instrText>
      </w:r>
      <w:r>
        <w:fldChar w:fldCharType="separate"/>
      </w:r>
      <w:r>
        <w:rPr>
          <w:rStyle w:val="12"/>
          <w:rFonts w:ascii="宋体" w:hAnsi="宋体" w:eastAsia="宋体"/>
          <w:szCs w:val="21"/>
        </w:rPr>
        <w:t>4.1 公正性</w:t>
      </w:r>
      <w:r>
        <w:rPr>
          <w:rFonts w:ascii="宋体" w:hAnsi="宋体" w:eastAsia="宋体"/>
          <w:szCs w:val="21"/>
        </w:rPr>
        <w:tab/>
      </w:r>
      <w:r>
        <w:rPr>
          <w:rFonts w:hint="eastAsia" w:ascii="宋体" w:hAnsi="宋体" w:eastAsia="宋体"/>
          <w:szCs w:val="21"/>
          <w:lang w:val="en-US" w:eastAsia="zh-CN"/>
        </w:rPr>
        <w:t>2</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"_Toc47270885" </w:instrText>
      </w:r>
      <w:r>
        <w:fldChar w:fldCharType="separate"/>
      </w:r>
      <w:r>
        <w:rPr>
          <w:rStyle w:val="12"/>
          <w:rFonts w:ascii="宋体" w:hAnsi="宋体" w:eastAsia="宋体"/>
          <w:szCs w:val="21"/>
        </w:rPr>
        <w:t>4.2 持续改进</w:t>
      </w:r>
      <w:r>
        <w:rPr>
          <w:rFonts w:ascii="宋体" w:hAnsi="宋体" w:eastAsia="宋体"/>
          <w:szCs w:val="21"/>
        </w:rPr>
        <w:tab/>
      </w:r>
      <w:r>
        <w:rPr>
          <w:rFonts w:hint="eastAsia" w:ascii="宋体" w:hAnsi="宋体" w:eastAsia="宋体"/>
          <w:szCs w:val="21"/>
          <w:lang w:val="en-US" w:eastAsia="zh-CN"/>
        </w:rPr>
        <w:t>2</w:t>
      </w:r>
      <w:r>
        <w:rPr>
          <w:rFonts w:ascii="宋体" w:hAnsi="宋体" w:eastAsia="宋体"/>
          <w:szCs w:val="21"/>
        </w:rPr>
        <w:fldChar w:fldCharType="end"/>
      </w:r>
    </w:p>
    <w:p>
      <w:pPr>
        <w:pStyle w:val="7"/>
        <w:tabs>
          <w:tab w:val="right" w:leader="dot" w:pos="9344"/>
        </w:tabs>
        <w:spacing w:line="360" w:lineRule="auto"/>
        <w:rPr>
          <w:rFonts w:ascii="宋体" w:hAnsi="宋体" w:eastAsia="宋体"/>
          <w:szCs w:val="21"/>
        </w:rPr>
      </w:pPr>
      <w:r>
        <w:fldChar w:fldCharType="begin"/>
      </w:r>
      <w:r>
        <w:instrText xml:space="preserve"> HYPERLINK \l "_Toc47270886" </w:instrText>
      </w:r>
      <w:r>
        <w:fldChar w:fldCharType="separate"/>
      </w:r>
      <w:r>
        <w:rPr>
          <w:rStyle w:val="12"/>
          <w:rFonts w:ascii="宋体" w:hAnsi="宋体" w:eastAsia="宋体"/>
          <w:szCs w:val="21"/>
        </w:rPr>
        <w:t>5 评价指标</w:t>
      </w:r>
      <w:r>
        <w:rPr>
          <w:rFonts w:ascii="宋体" w:hAnsi="宋体" w:eastAsia="宋体"/>
          <w:szCs w:val="21"/>
        </w:rPr>
        <w:tab/>
      </w:r>
      <w:r>
        <w:rPr>
          <w:rFonts w:hint="eastAsia" w:ascii="宋体" w:hAnsi="宋体" w:eastAsia="宋体"/>
          <w:szCs w:val="21"/>
          <w:lang w:val="en-US" w:eastAsia="zh-CN"/>
        </w:rPr>
        <w:t>2</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"_Toc47270887" </w:instrText>
      </w:r>
      <w:r>
        <w:fldChar w:fldCharType="separate"/>
      </w:r>
      <w:r>
        <w:rPr>
          <w:rStyle w:val="12"/>
          <w:rFonts w:ascii="宋体" w:hAnsi="宋体" w:eastAsia="宋体"/>
          <w:szCs w:val="21"/>
        </w:rPr>
        <w:t>5.1 能力</w:t>
      </w:r>
      <w:r>
        <w:rPr>
          <w:rFonts w:ascii="宋体" w:hAnsi="宋体" w:eastAsia="宋体"/>
          <w:szCs w:val="21"/>
        </w:rPr>
        <w:tab/>
      </w:r>
      <w:r>
        <w:rPr>
          <w:rFonts w:hint="eastAsia" w:ascii="宋体" w:hAnsi="宋体" w:eastAsia="宋体"/>
          <w:szCs w:val="21"/>
          <w:lang w:val="en-US" w:eastAsia="zh-CN"/>
        </w:rPr>
        <w:t>2</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"_Toc47270888" </w:instrText>
      </w:r>
      <w:r>
        <w:fldChar w:fldCharType="separate"/>
      </w:r>
      <w:r>
        <w:rPr>
          <w:rStyle w:val="12"/>
          <w:rFonts w:ascii="宋体" w:hAnsi="宋体" w:eastAsia="宋体"/>
          <w:szCs w:val="21"/>
        </w:rPr>
        <w:t>5.2 品质</w:t>
      </w:r>
      <w:r>
        <w:rPr>
          <w:rFonts w:ascii="宋体" w:hAnsi="宋体" w:eastAsia="宋体"/>
          <w:szCs w:val="21"/>
        </w:rPr>
        <w:tab/>
      </w:r>
      <w:r>
        <w:rPr>
          <w:rFonts w:hint="eastAsia" w:ascii="宋体" w:hAnsi="宋体" w:eastAsia="宋体"/>
          <w:szCs w:val="21"/>
          <w:lang w:val="en-US" w:eastAsia="zh-CN"/>
        </w:rPr>
        <w:t>3</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"_Toc47270889" </w:instrText>
      </w:r>
      <w:r>
        <w:fldChar w:fldCharType="separate"/>
      </w:r>
      <w:r>
        <w:rPr>
          <w:rStyle w:val="12"/>
          <w:rFonts w:ascii="宋体" w:hAnsi="宋体" w:eastAsia="宋体"/>
          <w:szCs w:val="21"/>
        </w:rPr>
        <w:t>5.3 声誉</w:t>
      </w:r>
      <w:r>
        <w:rPr>
          <w:rFonts w:ascii="宋体" w:hAnsi="宋体" w:eastAsia="宋体"/>
          <w:szCs w:val="21"/>
        </w:rPr>
        <w:tab/>
      </w:r>
      <w:r>
        <w:rPr>
          <w:rFonts w:hint="eastAsia" w:ascii="宋体" w:hAnsi="宋体" w:eastAsia="宋体"/>
          <w:szCs w:val="21"/>
          <w:lang w:val="en-US" w:eastAsia="zh-CN"/>
        </w:rPr>
        <w:t>4</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"_Toc47270890" </w:instrText>
      </w:r>
      <w:r>
        <w:fldChar w:fldCharType="separate"/>
      </w:r>
      <w:r>
        <w:rPr>
          <w:rStyle w:val="12"/>
          <w:rFonts w:ascii="宋体" w:hAnsi="宋体" w:eastAsia="宋体"/>
          <w:szCs w:val="21"/>
        </w:rPr>
        <w:t>5.4 企业文化</w:t>
      </w:r>
      <w:r>
        <w:rPr>
          <w:rFonts w:ascii="宋体" w:hAnsi="宋体" w:eastAsia="宋体"/>
          <w:szCs w:val="21"/>
        </w:rPr>
        <w:tab/>
      </w:r>
      <w:r>
        <w:rPr>
          <w:rFonts w:hint="eastAsia" w:ascii="宋体" w:hAnsi="宋体" w:eastAsia="宋体"/>
          <w:szCs w:val="21"/>
          <w:lang w:val="en-US" w:eastAsia="zh-CN"/>
        </w:rPr>
        <w:t>4</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"_Toc47270891" </w:instrText>
      </w:r>
      <w:r>
        <w:fldChar w:fldCharType="separate"/>
      </w:r>
      <w:r>
        <w:rPr>
          <w:rStyle w:val="12"/>
          <w:rFonts w:ascii="宋体" w:hAnsi="宋体" w:eastAsia="宋体"/>
          <w:szCs w:val="21"/>
        </w:rPr>
        <w:t>5.5影响</w:t>
      </w:r>
      <w:r>
        <w:rPr>
          <w:rFonts w:ascii="宋体" w:hAnsi="宋体" w:eastAsia="宋体"/>
          <w:szCs w:val="21"/>
        </w:rPr>
        <w:tab/>
      </w:r>
      <w:r>
        <w:rPr>
          <w:rFonts w:hint="eastAsia" w:ascii="宋体" w:hAnsi="宋体" w:eastAsia="宋体"/>
          <w:szCs w:val="21"/>
          <w:lang w:val="en-US" w:eastAsia="zh-CN"/>
        </w:rPr>
        <w:t>5</w:t>
      </w:r>
      <w:r>
        <w:rPr>
          <w:rFonts w:ascii="宋体" w:hAnsi="宋体" w:eastAsia="宋体"/>
          <w:szCs w:val="21"/>
        </w:rPr>
        <w:fldChar w:fldCharType="end"/>
      </w:r>
    </w:p>
    <w:p>
      <w:pPr>
        <w:pStyle w:val="7"/>
        <w:tabs>
          <w:tab w:val="right" w:leader="dot" w:pos="9344"/>
        </w:tabs>
        <w:spacing w:line="360" w:lineRule="auto"/>
        <w:rPr>
          <w:rFonts w:ascii="宋体" w:hAnsi="宋体" w:eastAsia="宋体"/>
          <w:szCs w:val="21"/>
        </w:rPr>
      </w:pPr>
      <w:r>
        <w:fldChar w:fldCharType="begin"/>
      </w:r>
      <w:r>
        <w:instrText xml:space="preserve"> HYPERLINK \l "_Toc47270892" </w:instrText>
      </w:r>
      <w:r>
        <w:fldChar w:fldCharType="separate"/>
      </w:r>
      <w:r>
        <w:rPr>
          <w:rStyle w:val="12"/>
          <w:rFonts w:ascii="宋体" w:hAnsi="宋体" w:eastAsia="宋体"/>
          <w:szCs w:val="21"/>
        </w:rPr>
        <w:t>6评价方法</w:t>
      </w:r>
      <w:r>
        <w:rPr>
          <w:rFonts w:ascii="宋体" w:hAnsi="宋体" w:eastAsia="宋体"/>
          <w:szCs w:val="21"/>
        </w:rPr>
        <w:tab/>
      </w:r>
      <w:r>
        <w:rPr>
          <w:rFonts w:hint="eastAsia" w:ascii="宋体" w:hAnsi="宋体" w:eastAsia="宋体"/>
          <w:szCs w:val="21"/>
          <w:lang w:val="en-US" w:eastAsia="zh-CN"/>
        </w:rPr>
        <w:t>5</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"_Toc47270893" </w:instrText>
      </w:r>
      <w:r>
        <w:fldChar w:fldCharType="separate"/>
      </w:r>
      <w:r>
        <w:rPr>
          <w:rStyle w:val="12"/>
          <w:rFonts w:ascii="宋体" w:hAnsi="宋体" w:eastAsia="宋体"/>
          <w:szCs w:val="21"/>
        </w:rPr>
        <w:t>6.1基本要求</w:t>
      </w:r>
      <w:r>
        <w:rPr>
          <w:rFonts w:ascii="宋体" w:hAnsi="宋体" w:eastAsia="宋体"/>
          <w:szCs w:val="21"/>
        </w:rPr>
        <w:tab/>
      </w:r>
      <w:r>
        <w:rPr>
          <w:rFonts w:hint="eastAsia" w:ascii="宋体" w:hAnsi="宋体" w:eastAsia="宋体"/>
          <w:szCs w:val="21"/>
          <w:lang w:val="en-US" w:eastAsia="zh-CN"/>
        </w:rPr>
        <w:t>5</w:t>
      </w:r>
      <w:r>
        <w:rPr>
          <w:rFonts w:ascii="宋体" w:hAnsi="宋体" w:eastAsia="宋体"/>
          <w:szCs w:val="21"/>
        </w:rPr>
        <w:fldChar w:fldCharType="end"/>
      </w:r>
    </w:p>
    <w:p>
      <w:pPr>
        <w:pStyle w:val="8"/>
        <w:tabs>
          <w:tab w:val="right" w:leader="dot" w:pos="9344"/>
        </w:tabs>
        <w:spacing w:line="360" w:lineRule="auto"/>
        <w:rPr>
          <w:rFonts w:ascii="宋体" w:hAnsi="宋体" w:eastAsia="宋体"/>
          <w:szCs w:val="21"/>
        </w:rPr>
      </w:pPr>
      <w:r>
        <w:fldChar w:fldCharType="begin"/>
      </w:r>
      <w:r>
        <w:instrText xml:space="preserve"> HYPERLINK \l "_Toc47270894" </w:instrText>
      </w:r>
      <w:r>
        <w:fldChar w:fldCharType="separate"/>
      </w:r>
      <w:r>
        <w:rPr>
          <w:rStyle w:val="12"/>
          <w:rFonts w:ascii="宋体" w:hAnsi="宋体" w:eastAsia="宋体"/>
          <w:szCs w:val="21"/>
        </w:rPr>
        <w:t>6.2评分</w:t>
      </w:r>
      <w:r>
        <w:rPr>
          <w:rFonts w:ascii="宋体" w:hAnsi="宋体" w:eastAsia="宋体"/>
          <w:szCs w:val="21"/>
        </w:rPr>
        <w:tab/>
      </w:r>
      <w:r>
        <w:rPr>
          <w:rFonts w:hint="eastAsia" w:ascii="宋体" w:hAnsi="宋体" w:eastAsia="宋体"/>
          <w:szCs w:val="21"/>
          <w:lang w:val="en-US" w:eastAsia="zh-CN"/>
        </w:rPr>
        <w:t>6</w:t>
      </w:r>
      <w:r>
        <w:rPr>
          <w:rFonts w:ascii="宋体" w:hAnsi="宋体" w:eastAsia="宋体"/>
          <w:szCs w:val="21"/>
        </w:rPr>
        <w:fldChar w:fldCharType="end"/>
      </w:r>
    </w:p>
    <w:p>
      <w:pPr>
        <w:pStyle w:val="7"/>
        <w:tabs>
          <w:tab w:val="right" w:leader="dot" w:pos="9344"/>
        </w:tabs>
        <w:spacing w:line="360" w:lineRule="auto"/>
        <w:rPr>
          <w:rFonts w:ascii="宋体" w:hAnsi="宋体" w:eastAsia="宋体"/>
          <w:szCs w:val="21"/>
        </w:rPr>
      </w:pPr>
    </w:p>
    <w:p>
      <w:pPr>
        <w:tabs>
          <w:tab w:val="left" w:pos="936"/>
        </w:tabs>
        <w:spacing w:line="360" w:lineRule="auto"/>
        <w:rPr>
          <w:rFonts w:ascii="宋体" w:hAnsi="宋体" w:eastAsia="宋体"/>
          <w:szCs w:val="21"/>
        </w:rPr>
      </w:pPr>
      <w:r>
        <w:rPr>
          <w:rFonts w:ascii="宋体" w:hAnsi="宋体" w:eastAsia="宋体"/>
          <w:szCs w:val="21"/>
        </w:rPr>
        <w:fldChar w:fldCharType="end"/>
      </w:r>
    </w:p>
    <w:p>
      <w:pPr>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sz w:val="24"/>
          <w:szCs w:val="24"/>
        </w:rPr>
      </w:pPr>
    </w:p>
    <w:p>
      <w:pPr>
        <w:pStyle w:val="2"/>
        <w:spacing w:before="0" w:after="0" w:line="360" w:lineRule="auto"/>
        <w:jc w:val="center"/>
        <w:rPr>
          <w:rFonts w:ascii="黑体" w:hAnsi="黑体" w:eastAsia="黑体"/>
          <w:sz w:val="32"/>
          <w:szCs w:val="32"/>
        </w:rPr>
      </w:pPr>
      <w:bookmarkStart w:id="0" w:name="_Toc47270879"/>
      <w:r>
        <w:rPr>
          <w:rFonts w:hint="eastAsia" w:ascii="黑体" w:hAnsi="黑体" w:eastAsia="黑体"/>
          <w:sz w:val="32"/>
          <w:szCs w:val="32"/>
        </w:rPr>
        <w:t>前言</w:t>
      </w:r>
      <w:bookmarkEnd w:id="0"/>
    </w:p>
    <w:p>
      <w:pPr>
        <w:spacing w:line="360" w:lineRule="auto"/>
        <w:jc w:val="center"/>
        <w:rPr>
          <w:rFonts w:ascii="宋体" w:hAnsi="宋体" w:eastAsia="宋体"/>
          <w:sz w:val="24"/>
          <w:szCs w:val="24"/>
        </w:rPr>
      </w:pPr>
    </w:p>
    <w:p>
      <w:pPr>
        <w:spacing w:line="360" w:lineRule="auto"/>
        <w:ind w:firstLine="480"/>
        <w:rPr>
          <w:rFonts w:ascii="宋体" w:hAnsi="宋体" w:eastAsia="宋体"/>
          <w:szCs w:val="21"/>
        </w:rPr>
      </w:pPr>
      <w:r>
        <w:rPr>
          <w:rFonts w:hint="eastAsia" w:ascii="宋体" w:hAnsi="宋体" w:eastAsia="宋体"/>
          <w:szCs w:val="21"/>
        </w:rPr>
        <w:t>本文件按照</w:t>
      </w:r>
      <w:r>
        <w:rPr>
          <w:rFonts w:ascii="宋体" w:hAnsi="宋体" w:eastAsia="宋体"/>
          <w:szCs w:val="21"/>
        </w:rPr>
        <w:t>GB/T 1.1</w:t>
      </w:r>
      <w:r>
        <w:rPr>
          <w:rFonts w:hint="eastAsia" w:ascii="宋体" w:hAnsi="宋体" w:eastAsia="宋体"/>
          <w:szCs w:val="21"/>
        </w:rPr>
        <w:t>-</w:t>
      </w:r>
      <w:r>
        <w:rPr>
          <w:rFonts w:ascii="宋体" w:hAnsi="宋体" w:eastAsia="宋体"/>
          <w:szCs w:val="21"/>
        </w:rPr>
        <w:t>2020《标准化工作导则 第1部分：标准化文件的结构和起草规则》的规定起</w:t>
      </w:r>
      <w:r>
        <w:rPr>
          <w:rFonts w:hint="eastAsia" w:ascii="宋体" w:hAnsi="宋体" w:eastAsia="宋体"/>
          <w:szCs w:val="21"/>
        </w:rPr>
        <w:t>草。</w:t>
      </w:r>
    </w:p>
    <w:p>
      <w:pPr>
        <w:spacing w:line="360" w:lineRule="auto"/>
        <w:ind w:firstLine="420" w:firstLineChars="200"/>
        <w:rPr>
          <w:rFonts w:ascii="宋体" w:hAnsi="宋体" w:eastAsia="宋体"/>
          <w:szCs w:val="21"/>
        </w:rPr>
      </w:pPr>
      <w:r>
        <w:rPr>
          <w:rFonts w:hint="eastAsia" w:ascii="宋体" w:hAnsi="宋体" w:eastAsia="宋体"/>
          <w:szCs w:val="21"/>
        </w:rPr>
        <w:t>T/</w:t>
      </w:r>
      <w:r>
        <w:rPr>
          <w:rFonts w:ascii="宋体" w:hAnsi="宋体" w:eastAsia="宋体"/>
          <w:szCs w:val="21"/>
        </w:rPr>
        <w:t>GZCXLM 001</w:t>
      </w:r>
      <w:r>
        <w:rPr>
          <w:rFonts w:hint="eastAsia" w:ascii="宋体" w:hAnsi="宋体" w:eastAsia="宋体"/>
          <w:szCs w:val="21"/>
        </w:rPr>
        <w:t>《广州品牌评价》分为2个部分：</w:t>
      </w:r>
    </w:p>
    <w:p>
      <w:pPr>
        <w:spacing w:line="360" w:lineRule="auto"/>
        <w:ind w:firstLine="420" w:firstLineChars="200"/>
        <w:rPr>
          <w:rFonts w:ascii="宋体" w:hAnsi="宋体" w:eastAsia="宋体"/>
          <w:szCs w:val="21"/>
        </w:rPr>
      </w:pPr>
      <w:r>
        <w:rPr>
          <w:rFonts w:hint="eastAsia" w:ascii="宋体" w:hAnsi="宋体" w:eastAsia="宋体"/>
          <w:szCs w:val="21"/>
        </w:rPr>
        <w:t>——第1部分：基本要求</w:t>
      </w:r>
    </w:p>
    <w:p>
      <w:pPr>
        <w:spacing w:line="360" w:lineRule="auto"/>
        <w:ind w:firstLine="420" w:firstLineChars="200"/>
        <w:rPr>
          <w:rFonts w:ascii="宋体" w:hAnsi="宋体" w:eastAsia="宋体"/>
          <w:szCs w:val="21"/>
        </w:rPr>
      </w:pPr>
      <w:r>
        <w:rPr>
          <w:rFonts w:hint="eastAsia" w:ascii="宋体" w:hAnsi="宋体" w:eastAsia="宋体"/>
          <w:szCs w:val="21"/>
        </w:rPr>
        <w:t>——第2部分：特殊要求</w:t>
      </w:r>
    </w:p>
    <w:p>
      <w:pPr>
        <w:spacing w:line="360" w:lineRule="auto"/>
        <w:ind w:firstLine="420" w:firstLineChars="200"/>
        <w:rPr>
          <w:rFonts w:ascii="宋体" w:hAnsi="宋体" w:eastAsia="宋体"/>
          <w:szCs w:val="21"/>
        </w:rPr>
      </w:pPr>
      <w:r>
        <w:rPr>
          <w:rFonts w:hint="eastAsia" w:ascii="宋体" w:hAnsi="宋体" w:eastAsia="宋体"/>
          <w:szCs w:val="21"/>
        </w:rPr>
        <w:t>本文件是T/</w:t>
      </w:r>
      <w:r>
        <w:rPr>
          <w:rFonts w:ascii="宋体" w:hAnsi="宋体" w:eastAsia="宋体"/>
          <w:szCs w:val="21"/>
        </w:rPr>
        <w:t>GZCXLM 001</w:t>
      </w:r>
      <w:r>
        <w:rPr>
          <w:rFonts w:hint="eastAsia" w:ascii="宋体" w:hAnsi="宋体" w:eastAsia="宋体"/>
          <w:szCs w:val="21"/>
        </w:rPr>
        <w:t>的第</w:t>
      </w:r>
      <w:r>
        <w:rPr>
          <w:rFonts w:ascii="宋体" w:hAnsi="宋体" w:eastAsia="宋体"/>
          <w:szCs w:val="21"/>
        </w:rPr>
        <w:t>2</w:t>
      </w:r>
      <w:r>
        <w:rPr>
          <w:rFonts w:hint="eastAsia" w:ascii="宋体" w:hAnsi="宋体" w:eastAsia="宋体"/>
          <w:szCs w:val="21"/>
        </w:rPr>
        <w:t>部分。</w:t>
      </w:r>
    </w:p>
    <w:p>
      <w:pPr>
        <w:spacing w:line="360" w:lineRule="auto"/>
        <w:ind w:firstLine="420" w:firstLineChars="200"/>
        <w:rPr>
          <w:rFonts w:ascii="宋体" w:hAnsi="宋体" w:eastAsia="宋体"/>
          <w:szCs w:val="21"/>
        </w:rPr>
      </w:pPr>
      <w:r>
        <w:rPr>
          <w:rFonts w:hint="eastAsia" w:ascii="宋体" w:hAnsi="宋体" w:eastAsia="宋体"/>
          <w:szCs w:val="21"/>
        </w:rPr>
        <w:t>本文件由xx提出。</w:t>
      </w:r>
    </w:p>
    <w:p>
      <w:pPr>
        <w:spacing w:line="360" w:lineRule="auto"/>
        <w:ind w:firstLine="420" w:firstLineChars="200"/>
        <w:rPr>
          <w:rFonts w:ascii="宋体" w:hAnsi="宋体" w:eastAsia="宋体"/>
          <w:szCs w:val="21"/>
        </w:rPr>
      </w:pPr>
      <w:r>
        <w:rPr>
          <w:rFonts w:hint="eastAsia" w:ascii="宋体" w:hAnsi="宋体" w:eastAsia="宋体"/>
          <w:szCs w:val="21"/>
        </w:rPr>
        <w:t>本文件由xx归口。</w:t>
      </w:r>
    </w:p>
    <w:p>
      <w:pPr>
        <w:spacing w:line="360" w:lineRule="auto"/>
        <w:ind w:firstLine="420" w:firstLineChars="200"/>
        <w:rPr>
          <w:rFonts w:ascii="宋体" w:hAnsi="宋体" w:eastAsia="宋体"/>
          <w:szCs w:val="21"/>
        </w:rPr>
      </w:pPr>
      <w:r>
        <w:rPr>
          <w:rFonts w:hint="eastAsia" w:ascii="宋体" w:hAnsi="宋体" w:eastAsia="宋体"/>
          <w:szCs w:val="21"/>
        </w:rPr>
        <w:t>本文件起草单位：</w:t>
      </w:r>
    </w:p>
    <w:p>
      <w:pPr>
        <w:spacing w:line="360" w:lineRule="auto"/>
        <w:ind w:firstLine="420" w:firstLineChars="200"/>
        <w:rPr>
          <w:rFonts w:ascii="宋体" w:hAnsi="宋体" w:eastAsia="宋体"/>
          <w:szCs w:val="21"/>
        </w:rPr>
      </w:pPr>
      <w:r>
        <w:rPr>
          <w:rFonts w:hint="eastAsia" w:ascii="宋体" w:hAnsi="宋体" w:eastAsia="宋体"/>
          <w:szCs w:val="21"/>
        </w:rPr>
        <w:t>本文件主要起草人：</w:t>
      </w:r>
    </w:p>
    <w:p>
      <w:pPr>
        <w:spacing w:line="360" w:lineRule="auto"/>
        <w:ind w:firstLine="420" w:firstLineChars="200"/>
        <w:rPr>
          <w:rFonts w:ascii="宋体" w:hAnsi="宋体" w:eastAsia="宋体"/>
          <w:szCs w:val="21"/>
        </w:rPr>
        <w:sectPr>
          <w:headerReference r:id="rId3" w:type="default"/>
          <w:footerReference r:id="rId5" w:type="default"/>
          <w:headerReference r:id="rId4" w:type="even"/>
          <w:footerReference r:id="rId6" w:type="even"/>
          <w:pgSz w:w="11906" w:h="16838"/>
          <w:pgMar w:top="1440" w:right="1803" w:bottom="1440" w:left="1803" w:header="1418" w:footer="1418" w:gutter="284"/>
          <w:pgNumType w:fmt="upperRoman" w:start="1"/>
          <w:cols w:space="425" w:num="1"/>
          <w:docGrid w:type="lines" w:linePitch="312" w:charSpace="0"/>
        </w:sectPr>
      </w:pPr>
      <w:r>
        <w:rPr>
          <w:rFonts w:hint="eastAsia" w:ascii="宋体" w:hAnsi="宋体" w:eastAsia="宋体"/>
          <w:szCs w:val="21"/>
        </w:rPr>
        <w:t>本文件为首次发布。</w:t>
      </w:r>
    </w:p>
    <w:p>
      <w:pPr>
        <w:spacing w:line="360" w:lineRule="auto"/>
        <w:jc w:val="center"/>
        <w:rPr>
          <w:rFonts w:ascii="黑体" w:hAnsi="黑体" w:eastAsia="黑体"/>
          <w:b/>
          <w:bCs/>
          <w:sz w:val="32"/>
          <w:szCs w:val="32"/>
        </w:rPr>
      </w:pPr>
      <w:r>
        <w:rPr>
          <w:rFonts w:hint="eastAsia" w:ascii="黑体" w:hAnsi="黑体" w:eastAsia="黑体"/>
          <w:b/>
          <w:bCs/>
          <w:sz w:val="32"/>
          <w:szCs w:val="32"/>
        </w:rPr>
        <w:t>广州品牌评价 第2部分：特殊要求</w:t>
      </w:r>
    </w:p>
    <w:p>
      <w:pPr>
        <w:spacing w:line="360" w:lineRule="auto"/>
        <w:rPr>
          <w:rFonts w:ascii="宋体" w:hAnsi="宋体" w:eastAsia="宋体"/>
          <w:sz w:val="24"/>
          <w:szCs w:val="24"/>
        </w:rPr>
      </w:pPr>
    </w:p>
    <w:p>
      <w:pPr>
        <w:pStyle w:val="2"/>
        <w:spacing w:before="0" w:after="0" w:line="360" w:lineRule="auto"/>
        <w:rPr>
          <w:rFonts w:ascii="宋体" w:hAnsi="宋体" w:eastAsia="宋体"/>
          <w:sz w:val="24"/>
          <w:szCs w:val="24"/>
        </w:rPr>
      </w:pPr>
      <w:bookmarkStart w:id="1" w:name="_Toc47270880"/>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范围</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本文件规定了广州品牌评价应遵照的原则、指标和方法等内容。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本文件适用于广州市国资国企创新战略联盟会员及其下属企业（以下统称组织）的品牌评价，其他企业和社会组织自愿采用。</w:t>
      </w:r>
    </w:p>
    <w:p>
      <w:pPr>
        <w:pStyle w:val="2"/>
        <w:spacing w:before="0" w:after="0" w:line="360" w:lineRule="auto"/>
        <w:rPr>
          <w:rFonts w:ascii="宋体" w:hAnsi="宋体" w:eastAsia="宋体"/>
          <w:sz w:val="24"/>
          <w:szCs w:val="24"/>
        </w:rPr>
      </w:pPr>
      <w:bookmarkStart w:id="2" w:name="_Toc47270881"/>
      <w:r>
        <w:rPr>
          <w:rFonts w:hint="eastAsia" w:ascii="宋体" w:hAnsi="宋体" w:eastAsia="宋体"/>
          <w:sz w:val="24"/>
          <w:szCs w:val="24"/>
        </w:rPr>
        <w:t>2 规范性引用文件</w:t>
      </w:r>
      <w:bookmarkEnd w:id="2"/>
    </w:p>
    <w:p>
      <w:pPr>
        <w:spacing w:line="360" w:lineRule="auto"/>
        <w:ind w:firstLine="480" w:firstLineChars="200"/>
        <w:rPr>
          <w:rFonts w:ascii="宋体" w:hAnsi="宋体" w:eastAsia="宋体"/>
          <w:sz w:val="24"/>
          <w:szCs w:val="24"/>
        </w:rPr>
      </w:pPr>
      <w:r>
        <w:rPr>
          <w:rFonts w:hint="eastAsia" w:ascii="宋体" w:hAnsi="宋体" w:eastAsia="宋体"/>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80" w:firstLineChars="200"/>
        <w:rPr>
          <w:rFonts w:ascii="宋体" w:hAnsi="宋体" w:eastAsia="宋体"/>
          <w:sz w:val="24"/>
          <w:szCs w:val="24"/>
        </w:rPr>
      </w:pP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 商业企业品牌评价与企业文化建设指南</w:t>
      </w:r>
    </w:p>
    <w:p>
      <w:pPr>
        <w:spacing w:line="360" w:lineRule="auto"/>
        <w:ind w:firstLine="480" w:firstLineChars="200"/>
        <w:rPr>
          <w:rFonts w:ascii="宋体" w:hAnsi="宋体" w:eastAsia="宋体"/>
          <w:sz w:val="24"/>
          <w:szCs w:val="24"/>
        </w:rPr>
      </w:pPr>
      <w:r>
        <w:rPr>
          <w:rFonts w:ascii="宋体" w:hAnsi="宋体" w:eastAsia="宋体"/>
          <w:sz w:val="24"/>
          <w:szCs w:val="24"/>
        </w:rPr>
        <w:t>GB/T 27000</w:t>
      </w:r>
      <w:r>
        <w:rPr>
          <w:rFonts w:hint="eastAsia" w:ascii="宋体" w:hAnsi="宋体" w:eastAsia="宋体"/>
          <w:sz w:val="24"/>
          <w:szCs w:val="24"/>
        </w:rPr>
        <w:t>-</w:t>
      </w:r>
      <w:r>
        <w:rPr>
          <w:rFonts w:ascii="宋体" w:hAnsi="宋体" w:eastAsia="宋体"/>
          <w:sz w:val="24"/>
          <w:szCs w:val="24"/>
        </w:rPr>
        <w:t>2006 合格评定 词汇和通用原则</w:t>
      </w:r>
    </w:p>
    <w:p>
      <w:pPr>
        <w:spacing w:line="360" w:lineRule="auto"/>
        <w:ind w:firstLine="480" w:firstLineChars="200"/>
        <w:rPr>
          <w:rFonts w:ascii="宋体" w:hAnsi="宋体" w:eastAsia="宋体"/>
          <w:sz w:val="24"/>
          <w:szCs w:val="24"/>
        </w:rPr>
      </w:pPr>
      <w:r>
        <w:rPr>
          <w:rFonts w:ascii="宋体" w:hAnsi="宋体" w:eastAsia="宋体"/>
          <w:sz w:val="24"/>
          <w:szCs w:val="24"/>
        </w:rPr>
        <w:t>GB/T 27400</w:t>
      </w:r>
      <w:r>
        <w:rPr>
          <w:rFonts w:hint="eastAsia" w:ascii="宋体" w:hAnsi="宋体" w:eastAsia="宋体"/>
          <w:sz w:val="24"/>
          <w:szCs w:val="24"/>
        </w:rPr>
        <w:t>-</w:t>
      </w:r>
      <w:r>
        <w:rPr>
          <w:rFonts w:ascii="宋体" w:hAnsi="宋体" w:eastAsia="宋体"/>
          <w:sz w:val="24"/>
          <w:szCs w:val="24"/>
        </w:rPr>
        <w:t>2020 合格评定 服务认证技术通则</w:t>
      </w:r>
    </w:p>
    <w:p>
      <w:pPr>
        <w:spacing w:line="360" w:lineRule="auto"/>
        <w:ind w:firstLine="480" w:firstLineChars="200"/>
        <w:rPr>
          <w:rFonts w:ascii="宋体" w:hAnsi="宋体" w:eastAsia="宋体"/>
          <w:sz w:val="24"/>
          <w:szCs w:val="24"/>
        </w:rPr>
      </w:pPr>
      <w:r>
        <w:rPr>
          <w:rFonts w:ascii="宋体" w:hAnsi="宋体" w:eastAsia="宋体"/>
          <w:sz w:val="24"/>
          <w:szCs w:val="24"/>
        </w:rPr>
        <w:t>GB/T 29185</w:t>
      </w:r>
      <w:r>
        <w:rPr>
          <w:rFonts w:hint="eastAsia" w:ascii="宋体" w:hAnsi="宋体" w:eastAsia="宋体"/>
          <w:sz w:val="24"/>
          <w:szCs w:val="24"/>
        </w:rPr>
        <w:t>-</w:t>
      </w:r>
      <w:r>
        <w:rPr>
          <w:rFonts w:ascii="宋体" w:hAnsi="宋体" w:eastAsia="宋体"/>
          <w:sz w:val="24"/>
          <w:szCs w:val="24"/>
        </w:rPr>
        <w:t>2012 品牌价值 术语</w:t>
      </w:r>
    </w:p>
    <w:p>
      <w:pPr>
        <w:spacing w:line="360" w:lineRule="auto"/>
        <w:ind w:firstLine="480" w:firstLineChars="200"/>
        <w:rPr>
          <w:rFonts w:hint="eastAsia" w:ascii="宋体" w:hAnsi="宋体" w:eastAsia="宋体"/>
          <w:sz w:val="24"/>
          <w:szCs w:val="24"/>
        </w:rPr>
      </w:pPr>
      <w:r>
        <w:rPr>
          <w:rFonts w:ascii="宋体" w:hAnsi="宋体" w:eastAsia="宋体"/>
          <w:sz w:val="24"/>
          <w:szCs w:val="24"/>
        </w:rPr>
        <w:t>GB/T 29188</w:t>
      </w:r>
      <w:r>
        <w:rPr>
          <w:rFonts w:hint="eastAsia" w:ascii="宋体" w:hAnsi="宋体" w:eastAsia="宋体"/>
          <w:sz w:val="24"/>
          <w:szCs w:val="24"/>
        </w:rPr>
        <w:t>-</w:t>
      </w:r>
      <w:r>
        <w:rPr>
          <w:rFonts w:ascii="宋体" w:hAnsi="宋体" w:eastAsia="宋体"/>
          <w:sz w:val="24"/>
          <w:szCs w:val="24"/>
        </w:rPr>
        <w:t>2012 品牌</w:t>
      </w:r>
      <w:r>
        <w:rPr>
          <w:rFonts w:hint="eastAsia" w:ascii="宋体" w:hAnsi="宋体" w:eastAsia="宋体"/>
          <w:sz w:val="24"/>
          <w:szCs w:val="24"/>
        </w:rPr>
        <w:t>评价</w:t>
      </w:r>
      <w:r>
        <w:rPr>
          <w:rFonts w:ascii="宋体" w:hAnsi="宋体" w:eastAsia="宋体"/>
          <w:sz w:val="24"/>
          <w:szCs w:val="24"/>
        </w:rPr>
        <w:t xml:space="preserve"> </w:t>
      </w:r>
      <w:r>
        <w:rPr>
          <w:rFonts w:hint="eastAsia" w:ascii="宋体" w:hAnsi="宋体" w:eastAsia="宋体"/>
          <w:sz w:val="24"/>
          <w:szCs w:val="24"/>
        </w:rPr>
        <w:t>多周期超额收益法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G</w:t>
      </w:r>
      <w:r>
        <w:rPr>
          <w:rFonts w:ascii="宋体" w:hAnsi="宋体" w:eastAsia="宋体"/>
          <w:sz w:val="24"/>
          <w:szCs w:val="24"/>
        </w:rPr>
        <w:t xml:space="preserve">B/T 19011/ISO 19011 </w:t>
      </w:r>
      <w:r>
        <w:rPr>
          <w:rFonts w:hint="eastAsia" w:ascii="宋体" w:hAnsi="宋体" w:eastAsia="宋体"/>
          <w:sz w:val="24"/>
          <w:szCs w:val="24"/>
        </w:rPr>
        <w:t>管理体系审核指南</w:t>
      </w:r>
    </w:p>
    <w:p>
      <w:pPr>
        <w:pStyle w:val="2"/>
        <w:spacing w:before="0" w:after="0" w:line="360" w:lineRule="auto"/>
        <w:rPr>
          <w:rFonts w:ascii="宋体" w:hAnsi="宋体" w:eastAsia="宋体"/>
          <w:sz w:val="24"/>
          <w:szCs w:val="24"/>
        </w:rPr>
      </w:pPr>
      <w:bookmarkStart w:id="3" w:name="_Toc47270882"/>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术语和定义</w:t>
      </w:r>
      <w:bookmarkEnd w:id="3"/>
    </w:p>
    <w:p>
      <w:pPr>
        <w:spacing w:line="360" w:lineRule="auto"/>
        <w:ind w:firstLine="480" w:firstLineChars="200"/>
        <w:rPr>
          <w:rFonts w:ascii="宋体" w:hAnsi="宋体" w:eastAsia="宋体"/>
          <w:sz w:val="24"/>
          <w:szCs w:val="24"/>
        </w:rPr>
      </w:pPr>
      <w:r>
        <w:rPr>
          <w:rFonts w:ascii="宋体" w:hAnsi="宋体" w:eastAsia="宋体"/>
          <w:sz w:val="24"/>
          <w:szCs w:val="24"/>
        </w:rPr>
        <w:t>GB/T 27000</w:t>
      </w:r>
      <w:r>
        <w:rPr>
          <w:rFonts w:hint="eastAsia" w:ascii="宋体" w:hAnsi="宋体" w:eastAsia="宋体"/>
          <w:sz w:val="24"/>
          <w:szCs w:val="24"/>
        </w:rPr>
        <w:t>-</w:t>
      </w:r>
      <w:r>
        <w:rPr>
          <w:rFonts w:ascii="宋体" w:hAnsi="宋体" w:eastAsia="宋体"/>
          <w:sz w:val="24"/>
          <w:szCs w:val="24"/>
        </w:rPr>
        <w:t>2006、GB/T 27925</w:t>
      </w:r>
      <w:r>
        <w:rPr>
          <w:rFonts w:hint="eastAsia" w:ascii="宋体" w:hAnsi="宋体" w:eastAsia="宋体"/>
          <w:sz w:val="24"/>
          <w:szCs w:val="24"/>
        </w:rPr>
        <w:t>-</w:t>
      </w:r>
      <w:r>
        <w:rPr>
          <w:rFonts w:ascii="宋体" w:hAnsi="宋体" w:eastAsia="宋体"/>
          <w:sz w:val="24"/>
          <w:szCs w:val="24"/>
        </w:rPr>
        <w:t>2011</w:t>
      </w:r>
      <w:r>
        <w:rPr>
          <w:rFonts w:hint="eastAsia" w:ascii="宋体" w:hAnsi="宋体" w:eastAsia="宋体"/>
          <w:sz w:val="24"/>
          <w:szCs w:val="24"/>
        </w:rPr>
        <w:t>、</w:t>
      </w:r>
      <w:r>
        <w:rPr>
          <w:rFonts w:ascii="宋体" w:hAnsi="宋体" w:eastAsia="宋体"/>
          <w:sz w:val="24"/>
          <w:szCs w:val="24"/>
        </w:rPr>
        <w:t>GB/T 29185</w:t>
      </w:r>
      <w:r>
        <w:rPr>
          <w:rFonts w:hint="eastAsia" w:ascii="宋体" w:hAnsi="宋体" w:eastAsia="宋体"/>
          <w:sz w:val="24"/>
          <w:szCs w:val="24"/>
        </w:rPr>
        <w:t>-</w:t>
      </w:r>
      <w:r>
        <w:rPr>
          <w:rFonts w:ascii="宋体" w:hAnsi="宋体" w:eastAsia="宋体"/>
          <w:sz w:val="24"/>
          <w:szCs w:val="24"/>
        </w:rPr>
        <w:t>2012</w:t>
      </w:r>
      <w:r>
        <w:rPr>
          <w:rFonts w:hint="eastAsia" w:ascii="宋体" w:hAnsi="宋体" w:eastAsia="宋体"/>
          <w:sz w:val="24"/>
          <w:szCs w:val="24"/>
        </w:rPr>
        <w:t>和T/</w:t>
      </w:r>
      <w:r>
        <w:rPr>
          <w:rFonts w:ascii="宋体" w:hAnsi="宋体" w:eastAsia="宋体"/>
          <w:sz w:val="24"/>
          <w:szCs w:val="24"/>
        </w:rPr>
        <w:t>GZCXLM 001</w:t>
      </w:r>
      <w:r>
        <w:rPr>
          <w:rFonts w:hint="eastAsia" w:ascii="宋体" w:hAnsi="宋体" w:eastAsia="宋体"/>
          <w:sz w:val="24"/>
          <w:szCs w:val="24"/>
        </w:rPr>
        <w:t>.</w:t>
      </w:r>
      <w:r>
        <w:rPr>
          <w:rFonts w:ascii="宋体" w:hAnsi="宋体" w:eastAsia="宋体"/>
          <w:sz w:val="24"/>
          <w:szCs w:val="24"/>
        </w:rPr>
        <w:t>1-2020界定的以及下列术语和定义适用于本</w:t>
      </w:r>
      <w:r>
        <w:rPr>
          <w:rFonts w:hint="eastAsia" w:ascii="宋体" w:hAnsi="宋体" w:eastAsia="宋体"/>
          <w:sz w:val="24"/>
          <w:szCs w:val="24"/>
        </w:rPr>
        <w:t>文件。</w:t>
      </w:r>
    </w:p>
    <w:p>
      <w:pPr>
        <w:spacing w:line="360" w:lineRule="auto"/>
        <w:rPr>
          <w:rFonts w:ascii="宋体" w:hAnsi="宋体" w:eastAsia="宋体"/>
          <w:b/>
          <w:bCs/>
          <w:sz w:val="24"/>
          <w:szCs w:val="24"/>
        </w:rPr>
      </w:pPr>
      <w:r>
        <w:rPr>
          <w:rFonts w:ascii="宋体" w:hAnsi="宋体" w:eastAsia="宋体"/>
          <w:b/>
          <w:bCs/>
          <w:sz w:val="24"/>
          <w:szCs w:val="24"/>
        </w:rPr>
        <w:t>3.1</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企业文化</w:t>
      </w:r>
      <w:r>
        <w:rPr>
          <w:rFonts w:ascii="宋体" w:hAnsi="宋体" w:eastAsia="宋体"/>
          <w:b/>
          <w:bCs/>
          <w:sz w:val="24"/>
          <w:szCs w:val="24"/>
        </w:rPr>
        <w:t xml:space="preserve"> enterprise culture</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企业在长期生产经营活动中确立的，</w:t>
      </w:r>
      <w:r>
        <w:rPr>
          <w:rFonts w:ascii="宋体" w:hAnsi="宋体" w:eastAsia="宋体"/>
          <w:sz w:val="24"/>
          <w:szCs w:val="24"/>
        </w:rPr>
        <w:t>被内部认可和外部各方普遍认知的基本理念</w:t>
      </w:r>
      <w:r>
        <w:rPr>
          <w:rFonts w:hint="eastAsia" w:ascii="宋体" w:hAnsi="宋体" w:eastAsia="宋体"/>
          <w:sz w:val="24"/>
          <w:szCs w:val="24"/>
        </w:rPr>
        <w:t>、</w:t>
      </w:r>
      <w:r>
        <w:rPr>
          <w:rFonts w:ascii="宋体" w:hAnsi="宋体" w:eastAsia="宋体"/>
          <w:sz w:val="24"/>
          <w:szCs w:val="24"/>
        </w:rPr>
        <w:t>价值观念</w:t>
      </w:r>
      <w:r>
        <w:rPr>
          <w:rFonts w:hint="eastAsia" w:ascii="宋体" w:hAnsi="宋体" w:eastAsia="宋体"/>
          <w:sz w:val="24"/>
          <w:szCs w:val="24"/>
        </w:rPr>
        <w:t>、</w:t>
      </w:r>
      <w:r>
        <w:rPr>
          <w:rFonts w:ascii="宋体" w:hAnsi="宋体" w:eastAsia="宋体"/>
          <w:sz w:val="24"/>
          <w:szCs w:val="24"/>
        </w:rPr>
        <w:t>行为</w:t>
      </w:r>
      <w:r>
        <w:rPr>
          <w:rFonts w:hint="eastAsia" w:ascii="宋体" w:hAnsi="宋体" w:eastAsia="宋体"/>
          <w:sz w:val="24"/>
          <w:szCs w:val="24"/>
        </w:rPr>
        <w:t>规范和道德、</w:t>
      </w:r>
      <w:r>
        <w:rPr>
          <w:rFonts w:ascii="宋体" w:hAnsi="宋体" w:eastAsia="宋体"/>
          <w:sz w:val="24"/>
          <w:szCs w:val="24"/>
        </w:rPr>
        <w:t>风尚</w:t>
      </w:r>
      <w:r>
        <w:rPr>
          <w:rFonts w:hint="eastAsia" w:ascii="宋体" w:hAnsi="宋体" w:eastAsia="宋体"/>
          <w:sz w:val="24"/>
          <w:szCs w:val="24"/>
        </w:rPr>
        <w:t>、</w:t>
      </w:r>
      <w:r>
        <w:rPr>
          <w:rFonts w:ascii="宋体" w:hAnsi="宋体" w:eastAsia="宋体"/>
          <w:sz w:val="24"/>
          <w:szCs w:val="24"/>
        </w:rPr>
        <w:t>习俗等心理积淀的总和</w:t>
      </w:r>
      <w:r>
        <w:rPr>
          <w:rFonts w:hint="eastAsia" w:ascii="宋体" w:hAnsi="宋体" w:eastAsia="宋体"/>
          <w:sz w:val="24"/>
          <w:szCs w:val="24"/>
        </w:rPr>
        <w:t>。</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2</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品牌规划 brand</w:t>
      </w:r>
      <w:r>
        <w:rPr>
          <w:rFonts w:ascii="宋体" w:hAnsi="宋体" w:eastAsia="宋体"/>
          <w:b/>
          <w:bCs/>
          <w:sz w:val="24"/>
          <w:szCs w:val="24"/>
        </w:rPr>
        <w:t xml:space="preserve"> </w:t>
      </w:r>
      <w:r>
        <w:rPr>
          <w:rFonts w:hint="eastAsia" w:ascii="宋体" w:hAnsi="宋体" w:eastAsia="宋体"/>
          <w:b/>
          <w:bCs/>
          <w:sz w:val="24"/>
          <w:szCs w:val="24"/>
        </w:rPr>
        <w:t>planning</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对确定的品牌进行设计规划，是塑造品牌的工具、方法和途径。</w:t>
      </w:r>
    </w:p>
    <w:p>
      <w:pPr>
        <w:spacing w:line="360" w:lineRule="auto"/>
        <w:ind w:firstLine="480" w:firstLineChars="200"/>
        <w:rPr>
          <w:rFonts w:hint="eastAsia"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3</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品牌知名度 brand</w:t>
      </w:r>
      <w:r>
        <w:rPr>
          <w:rFonts w:ascii="宋体" w:hAnsi="宋体" w:eastAsia="宋体"/>
          <w:b/>
          <w:bCs/>
          <w:sz w:val="24"/>
          <w:szCs w:val="24"/>
        </w:rPr>
        <w:t xml:space="preserve"> </w:t>
      </w:r>
      <w:r>
        <w:rPr>
          <w:rFonts w:hint="eastAsia" w:ascii="宋体" w:hAnsi="宋体" w:eastAsia="宋体"/>
          <w:b/>
          <w:bCs/>
          <w:sz w:val="24"/>
          <w:szCs w:val="24"/>
        </w:rPr>
        <w:t>awareness</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顾客及其他利益相关方对特定品牌的知晓程度。</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4</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品牌认知度 brand</w:t>
      </w:r>
      <w:r>
        <w:rPr>
          <w:rFonts w:ascii="宋体" w:hAnsi="宋体" w:eastAsia="宋体"/>
          <w:b/>
          <w:bCs/>
          <w:sz w:val="24"/>
          <w:szCs w:val="24"/>
        </w:rPr>
        <w:t xml:space="preserve"> </w:t>
      </w:r>
      <w:r>
        <w:rPr>
          <w:rFonts w:hint="eastAsia" w:ascii="宋体" w:hAnsi="宋体" w:eastAsia="宋体"/>
          <w:b/>
          <w:bCs/>
          <w:sz w:val="24"/>
          <w:szCs w:val="24"/>
        </w:rPr>
        <w:t>cognition</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顾客及其他利益相关方对品牌定位、内涵、个性、形象、价值等的理解和认识。</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5</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品牌美誉度 brand</w:t>
      </w:r>
      <w:r>
        <w:rPr>
          <w:rFonts w:ascii="宋体" w:hAnsi="宋体" w:eastAsia="宋体"/>
          <w:b/>
          <w:bCs/>
          <w:sz w:val="24"/>
          <w:szCs w:val="24"/>
        </w:rPr>
        <w:t xml:space="preserve"> </w:t>
      </w:r>
      <w:r>
        <w:rPr>
          <w:rFonts w:hint="eastAsia" w:ascii="宋体" w:hAnsi="宋体" w:eastAsia="宋体"/>
          <w:b/>
          <w:bCs/>
          <w:sz w:val="24"/>
          <w:szCs w:val="24"/>
        </w:rPr>
        <w:t>favorite</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顾客及其他利益相关方对特定品牌的偏好、信任和认同程度。</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6</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品牌忠诚度 brand</w:t>
      </w:r>
      <w:r>
        <w:rPr>
          <w:rFonts w:ascii="宋体" w:hAnsi="宋体" w:eastAsia="宋体"/>
          <w:b/>
          <w:bCs/>
          <w:sz w:val="24"/>
          <w:szCs w:val="24"/>
        </w:rPr>
        <w:t xml:space="preserve"> loyalty</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顾客购买决策中，多次表现出对某品牌具有偏向性的行为反应。表现为顾客为购买该品牌资源投入时间、精力、金钱以及其他超越购买该品牌所需的最基本花费。</w:t>
      </w:r>
    </w:p>
    <w:p>
      <w:pPr>
        <w:pStyle w:val="2"/>
        <w:spacing w:before="0" w:after="0" w:line="360" w:lineRule="auto"/>
        <w:rPr>
          <w:rFonts w:ascii="宋体" w:hAnsi="宋体" w:eastAsia="宋体"/>
          <w:sz w:val="24"/>
          <w:szCs w:val="24"/>
        </w:rPr>
      </w:pPr>
      <w:bookmarkStart w:id="4" w:name="_Toc47270883"/>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评价原则</w:t>
      </w:r>
      <w:bookmarkEnd w:id="4"/>
    </w:p>
    <w:p>
      <w:pPr>
        <w:pStyle w:val="3"/>
        <w:spacing w:before="0" w:after="0" w:line="360" w:lineRule="auto"/>
        <w:rPr>
          <w:rFonts w:ascii="宋体" w:hAnsi="宋体" w:eastAsia="宋体"/>
          <w:sz w:val="24"/>
          <w:szCs w:val="24"/>
        </w:rPr>
      </w:pPr>
      <w:bookmarkStart w:id="5" w:name="_Toc47270884"/>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公正性</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评价应公平、公正，遵守G</w:t>
      </w:r>
      <w:r>
        <w:rPr>
          <w:rFonts w:ascii="宋体" w:hAnsi="宋体" w:eastAsia="宋体"/>
          <w:sz w:val="24"/>
          <w:szCs w:val="24"/>
        </w:rPr>
        <w:t>B/T 19011</w:t>
      </w:r>
      <w:r>
        <w:rPr>
          <w:rFonts w:hint="eastAsia" w:ascii="宋体" w:hAnsi="宋体" w:eastAsia="宋体"/>
          <w:sz w:val="24"/>
          <w:szCs w:val="24"/>
        </w:rPr>
        <w:t>中第4章的要求。</w:t>
      </w:r>
    </w:p>
    <w:p>
      <w:pPr>
        <w:pStyle w:val="3"/>
        <w:spacing w:before="0" w:after="0" w:line="360" w:lineRule="auto"/>
        <w:rPr>
          <w:rFonts w:ascii="宋体" w:hAnsi="宋体" w:eastAsia="宋体"/>
          <w:sz w:val="24"/>
          <w:szCs w:val="24"/>
        </w:rPr>
      </w:pPr>
      <w:bookmarkStart w:id="6" w:name="_Toc47270885"/>
      <w:r>
        <w:rPr>
          <w:rFonts w:hint="eastAsia" w:ascii="宋体" w:hAnsi="宋体" w:eastAsia="宋体"/>
          <w:sz w:val="24"/>
          <w:szCs w:val="24"/>
        </w:rPr>
        <w:t>4.</w:t>
      </w:r>
      <w:r>
        <w:rPr>
          <w:rFonts w:ascii="宋体" w:hAnsi="宋体" w:eastAsia="宋体"/>
          <w:sz w:val="24"/>
          <w:szCs w:val="24"/>
        </w:rPr>
        <w:t xml:space="preserve">2 </w:t>
      </w:r>
      <w:r>
        <w:rPr>
          <w:rFonts w:hint="eastAsia" w:ascii="宋体" w:hAnsi="宋体" w:eastAsia="宋体"/>
          <w:sz w:val="24"/>
          <w:szCs w:val="24"/>
        </w:rPr>
        <w:t>持续改进</w:t>
      </w:r>
      <w:bookmarkEnd w:id="6"/>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评价应是持续性的，</w:t>
      </w:r>
      <w:r>
        <w:rPr>
          <w:rFonts w:ascii="宋体" w:hAnsi="宋体" w:eastAsia="宋体"/>
          <w:sz w:val="24"/>
          <w:szCs w:val="24"/>
        </w:rPr>
        <w:t>得出评价结果后</w:t>
      </w:r>
      <w:r>
        <w:rPr>
          <w:rFonts w:hint="eastAsia" w:ascii="宋体" w:hAnsi="宋体" w:eastAsia="宋体"/>
          <w:sz w:val="24"/>
          <w:szCs w:val="24"/>
        </w:rPr>
        <w:t>，</w:t>
      </w:r>
      <w:r>
        <w:rPr>
          <w:rFonts w:ascii="宋体" w:hAnsi="宋体" w:eastAsia="宋体"/>
          <w:sz w:val="24"/>
          <w:szCs w:val="24"/>
        </w:rPr>
        <w:t>应至少按年度对企业的品质</w:t>
      </w:r>
      <w:r>
        <w:rPr>
          <w:rFonts w:hint="eastAsia" w:ascii="宋体" w:hAnsi="宋体" w:eastAsia="宋体"/>
          <w:sz w:val="24"/>
          <w:szCs w:val="24"/>
        </w:rPr>
        <w:t>、</w:t>
      </w:r>
      <w:r>
        <w:rPr>
          <w:rFonts w:ascii="宋体" w:hAnsi="宋体" w:eastAsia="宋体"/>
          <w:sz w:val="24"/>
          <w:szCs w:val="24"/>
        </w:rPr>
        <w:t>声誉和影响进行监督评价</w:t>
      </w:r>
      <w:r>
        <w:rPr>
          <w:rFonts w:hint="eastAsia" w:ascii="宋体" w:hAnsi="宋体" w:eastAsia="宋体"/>
          <w:sz w:val="24"/>
          <w:szCs w:val="24"/>
        </w:rPr>
        <w:t>（</w:t>
      </w:r>
      <w:r>
        <w:rPr>
          <w:rFonts w:ascii="宋体" w:hAnsi="宋体" w:eastAsia="宋体"/>
          <w:sz w:val="24"/>
          <w:szCs w:val="24"/>
        </w:rPr>
        <w:t>包括</w:t>
      </w:r>
      <w:r>
        <w:rPr>
          <w:rFonts w:hint="eastAsia" w:ascii="宋体" w:hAnsi="宋体" w:eastAsia="宋体"/>
          <w:sz w:val="24"/>
          <w:szCs w:val="24"/>
        </w:rPr>
        <w:t>顾客、</w:t>
      </w:r>
      <w:r>
        <w:rPr>
          <w:rFonts w:ascii="宋体" w:hAnsi="宋体" w:eastAsia="宋体"/>
          <w:sz w:val="24"/>
          <w:szCs w:val="24"/>
        </w:rPr>
        <w:t>第三方的监督</w:t>
      </w:r>
      <w:r>
        <w:rPr>
          <w:rFonts w:hint="eastAsia" w:ascii="宋体" w:hAnsi="宋体" w:eastAsia="宋体"/>
          <w:sz w:val="24"/>
          <w:szCs w:val="24"/>
        </w:rPr>
        <w:t>），</w:t>
      </w:r>
      <w:r>
        <w:rPr>
          <w:rFonts w:ascii="宋体" w:hAnsi="宋体" w:eastAsia="宋体"/>
          <w:sz w:val="24"/>
          <w:szCs w:val="24"/>
        </w:rPr>
        <w:t>至少每三年重新评价一次</w:t>
      </w:r>
      <w:r>
        <w:rPr>
          <w:rFonts w:hint="eastAsia" w:ascii="宋体" w:hAnsi="宋体" w:eastAsia="宋体"/>
          <w:sz w:val="24"/>
          <w:szCs w:val="24"/>
        </w:rPr>
        <w:t>，</w:t>
      </w:r>
      <w:r>
        <w:rPr>
          <w:rFonts w:ascii="宋体" w:hAnsi="宋体" w:eastAsia="宋体"/>
          <w:sz w:val="24"/>
          <w:szCs w:val="24"/>
        </w:rPr>
        <w:t>达到保持和改进的目的</w:t>
      </w:r>
      <w:r>
        <w:rPr>
          <w:rFonts w:hint="eastAsia" w:ascii="宋体" w:hAnsi="宋体" w:eastAsia="宋体"/>
          <w:sz w:val="24"/>
          <w:szCs w:val="24"/>
        </w:rPr>
        <w:t>。</w:t>
      </w:r>
    </w:p>
    <w:p>
      <w:pPr>
        <w:pStyle w:val="2"/>
        <w:spacing w:before="0" w:after="0" w:line="360" w:lineRule="auto"/>
        <w:rPr>
          <w:rFonts w:ascii="宋体" w:hAnsi="宋体" w:eastAsia="宋体"/>
          <w:sz w:val="24"/>
          <w:szCs w:val="24"/>
        </w:rPr>
      </w:pPr>
      <w:bookmarkStart w:id="7" w:name="_Toc47270886"/>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评价指标</w:t>
      </w:r>
      <w:bookmarkEnd w:id="7"/>
    </w:p>
    <w:p>
      <w:pPr>
        <w:pStyle w:val="3"/>
        <w:spacing w:before="0" w:after="0" w:line="360" w:lineRule="auto"/>
        <w:rPr>
          <w:rFonts w:ascii="宋体" w:hAnsi="宋体" w:eastAsia="宋体"/>
          <w:sz w:val="24"/>
          <w:szCs w:val="24"/>
        </w:rPr>
      </w:pPr>
      <w:bookmarkStart w:id="8" w:name="_Toc47270887"/>
      <w:r>
        <w:rPr>
          <w:rFonts w:hint="eastAsia" w:ascii="宋体" w:hAnsi="宋体" w:eastAsia="宋体"/>
          <w:sz w:val="24"/>
          <w:szCs w:val="24"/>
        </w:rPr>
        <w:t>5.</w:t>
      </w:r>
      <w:r>
        <w:rPr>
          <w:rFonts w:ascii="宋体" w:hAnsi="宋体" w:eastAsia="宋体"/>
          <w:sz w:val="24"/>
          <w:szCs w:val="24"/>
        </w:rPr>
        <w:t xml:space="preserve">1 </w:t>
      </w:r>
      <w:r>
        <w:rPr>
          <w:rFonts w:hint="eastAsia" w:ascii="宋体" w:hAnsi="宋体" w:eastAsia="宋体"/>
          <w:sz w:val="24"/>
          <w:szCs w:val="24"/>
        </w:rPr>
        <w:t>能力</w:t>
      </w:r>
      <w:bookmarkEnd w:id="8"/>
    </w:p>
    <w:p>
      <w:pPr>
        <w:spacing w:line="360" w:lineRule="auto"/>
        <w:rPr>
          <w:rFonts w:ascii="宋体" w:hAnsi="宋体" w:eastAsia="宋体"/>
          <w:b/>
          <w:bCs/>
          <w:sz w:val="24"/>
          <w:szCs w:val="24"/>
        </w:rPr>
      </w:pPr>
      <w:r>
        <w:rPr>
          <w:rFonts w:hint="eastAsia" w:ascii="宋体" w:hAnsi="宋体" w:eastAsia="宋体"/>
          <w:b/>
          <w:bCs/>
          <w:sz w:val="24"/>
          <w:szCs w:val="24"/>
        </w:rPr>
        <w:t>5.</w:t>
      </w: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 xml:space="preserve">1 </w:t>
      </w:r>
      <w:r>
        <w:rPr>
          <w:rFonts w:hint="eastAsia" w:ascii="宋体" w:hAnsi="宋体" w:eastAsia="宋体"/>
          <w:b/>
          <w:bCs/>
          <w:sz w:val="24"/>
          <w:szCs w:val="24"/>
        </w:rPr>
        <w:t>品牌规划</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2011中5.1.1的要求</w:t>
      </w:r>
      <w:r>
        <w:rPr>
          <w:rFonts w:hint="eastAsia" w:ascii="宋体" w:hAnsi="宋体" w:eastAsia="宋体"/>
          <w:sz w:val="24"/>
          <w:szCs w:val="24"/>
        </w:rPr>
        <w:t>，此外还应满足：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a）企业的品牌建设与企业核心竞争能力建设有效结合；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b）规划企业品牌发展时，应考虑对广州行政区域范围内公众的影响。</w:t>
      </w:r>
    </w:p>
    <w:p>
      <w:pPr>
        <w:spacing w:line="360" w:lineRule="auto"/>
        <w:rPr>
          <w:rFonts w:ascii="宋体" w:hAnsi="宋体" w:eastAsia="宋体"/>
          <w:b/>
          <w:bCs/>
          <w:sz w:val="24"/>
          <w:szCs w:val="24"/>
        </w:rPr>
      </w:pPr>
      <w:r>
        <w:rPr>
          <w:rFonts w:ascii="宋体" w:hAnsi="宋体" w:eastAsia="宋体"/>
          <w:b/>
          <w:bCs/>
          <w:sz w:val="24"/>
          <w:szCs w:val="24"/>
        </w:rPr>
        <w:t>5.1.2 品牌管理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2011中5.1.2的要求</w:t>
      </w:r>
      <w:r>
        <w:rPr>
          <w:rFonts w:hint="eastAsia" w:ascii="宋体" w:hAnsi="宋体" w:eastAsia="宋体"/>
          <w:sz w:val="24"/>
          <w:szCs w:val="24"/>
        </w:rPr>
        <w:t>，此外</w:t>
      </w:r>
      <w:r>
        <w:rPr>
          <w:rFonts w:ascii="宋体" w:hAnsi="宋体" w:eastAsia="宋体"/>
          <w:sz w:val="24"/>
          <w:szCs w:val="24"/>
        </w:rPr>
        <w:t>建立</w:t>
      </w:r>
      <w:r>
        <w:rPr>
          <w:rFonts w:hint="eastAsia" w:ascii="宋体" w:hAnsi="宋体" w:eastAsia="宋体"/>
          <w:sz w:val="24"/>
          <w:szCs w:val="24"/>
        </w:rPr>
        <w:t>的</w:t>
      </w:r>
      <w:r>
        <w:rPr>
          <w:rFonts w:ascii="宋体" w:hAnsi="宋体" w:eastAsia="宋体"/>
          <w:sz w:val="24"/>
          <w:szCs w:val="24"/>
        </w:rPr>
        <w:t>品牌管理制度，</w:t>
      </w:r>
      <w:r>
        <w:rPr>
          <w:rFonts w:hint="eastAsia" w:ascii="宋体" w:hAnsi="宋体" w:eastAsia="宋体"/>
          <w:sz w:val="24"/>
          <w:szCs w:val="24"/>
        </w:rPr>
        <w:t>内容应包括：</w:t>
      </w:r>
    </w:p>
    <w:p>
      <w:pPr>
        <w:pStyle w:val="1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品牌管理机构设置、职责和权限的相关文件；</w:t>
      </w:r>
    </w:p>
    <w:p>
      <w:pPr>
        <w:pStyle w:val="1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品牌状态的监视机制和预警机制；</w:t>
      </w:r>
    </w:p>
    <w:p>
      <w:pPr>
        <w:pStyle w:val="1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品牌状态和策略的调整制度；</w:t>
      </w:r>
    </w:p>
    <w:p>
      <w:pPr>
        <w:pStyle w:val="1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品牌保护和品牌运营风险控制的相关制度。</w:t>
      </w:r>
    </w:p>
    <w:p>
      <w:pPr>
        <w:spacing w:line="360" w:lineRule="auto"/>
        <w:rPr>
          <w:rFonts w:ascii="宋体" w:hAnsi="宋体" w:eastAsia="宋体"/>
          <w:b/>
          <w:bCs/>
          <w:sz w:val="24"/>
          <w:szCs w:val="24"/>
        </w:rPr>
      </w:pPr>
      <w:r>
        <w:rPr>
          <w:rFonts w:ascii="宋体" w:hAnsi="宋体" w:eastAsia="宋体"/>
          <w:b/>
          <w:bCs/>
          <w:sz w:val="24"/>
          <w:szCs w:val="24"/>
        </w:rPr>
        <w:t>5.1.3 保障机制</w:t>
      </w:r>
    </w:p>
    <w:p>
      <w:pPr>
        <w:spacing w:line="360" w:lineRule="auto"/>
        <w:ind w:firstLine="480" w:firstLineChars="200"/>
        <w:rPr>
          <w:rFonts w:ascii="宋体" w:hAnsi="宋体" w:eastAsia="宋体"/>
          <w:b/>
          <w:bCs/>
          <w:sz w:val="24"/>
          <w:szCs w:val="24"/>
        </w:rPr>
      </w:pPr>
      <w:bookmarkStart w:id="9" w:name="_Hlk53231216"/>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2011中5.1.3的要求</w:t>
      </w:r>
      <w:bookmarkEnd w:id="9"/>
      <w:r>
        <w:rPr>
          <w:rFonts w:hint="eastAsia" w:ascii="宋体" w:hAnsi="宋体" w:eastAsia="宋体"/>
          <w:sz w:val="24"/>
          <w:szCs w:val="24"/>
        </w:rPr>
        <w:t>，此外负责品牌管理的职能部门，授权并承担以下职责：</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负责品牌战略性管理、决策与监督；</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负责品牌资产的经营决策，有效利用品牌资产；</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维护品牌资产；</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负责品牌的营销战略、年度营销计划的制定和实施等；</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制订品牌推广计划，参与管理市场推广组合；</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主持或参与品牌的新产品开发、上市及市场营销工作；</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负责公司C</w:t>
      </w:r>
      <w:r>
        <w:rPr>
          <w:rFonts w:ascii="宋体" w:hAnsi="宋体" w:eastAsia="宋体"/>
          <w:sz w:val="24"/>
          <w:szCs w:val="24"/>
        </w:rPr>
        <w:t>I</w:t>
      </w:r>
      <w:r>
        <w:rPr>
          <w:rFonts w:hint="eastAsia" w:ascii="宋体" w:hAnsi="宋体" w:eastAsia="宋体"/>
          <w:sz w:val="24"/>
          <w:szCs w:val="24"/>
        </w:rPr>
        <w:t>（corporate</w:t>
      </w:r>
      <w:r>
        <w:rPr>
          <w:rFonts w:ascii="宋体" w:hAnsi="宋体" w:eastAsia="宋体"/>
          <w:sz w:val="24"/>
          <w:szCs w:val="24"/>
        </w:rPr>
        <w:t xml:space="preserve"> </w:t>
      </w:r>
      <w:r>
        <w:rPr>
          <w:rFonts w:hint="eastAsia" w:ascii="宋体" w:hAnsi="宋体" w:eastAsia="宋体"/>
          <w:sz w:val="24"/>
          <w:szCs w:val="24"/>
        </w:rPr>
        <w:t>identity</w:t>
      </w:r>
      <w:r>
        <w:rPr>
          <w:rFonts w:ascii="宋体" w:hAnsi="宋体" w:eastAsia="宋体"/>
          <w:sz w:val="24"/>
          <w:szCs w:val="24"/>
        </w:rPr>
        <w:t xml:space="preserve"> </w:t>
      </w:r>
      <w:r>
        <w:rPr>
          <w:rFonts w:hint="eastAsia" w:ascii="宋体" w:hAnsi="宋体" w:eastAsia="宋体"/>
          <w:sz w:val="24"/>
          <w:szCs w:val="24"/>
        </w:rPr>
        <w:t>system，即企业形象识别系统）的管理；</w:t>
      </w:r>
    </w:p>
    <w:p>
      <w:pPr>
        <w:pStyle w:val="1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管理、培养、考核与评估所属的品牌经营团队，指导下属分子公司品牌管理团队；</w:t>
      </w:r>
    </w:p>
    <w:p>
      <w:pPr>
        <w:spacing w:line="360" w:lineRule="auto"/>
        <w:rPr>
          <w:rFonts w:ascii="宋体" w:hAnsi="宋体" w:eastAsia="宋体"/>
          <w:sz w:val="24"/>
          <w:szCs w:val="24"/>
        </w:rPr>
      </w:pPr>
      <w:r>
        <w:rPr>
          <w:rFonts w:hint="eastAsia" w:ascii="宋体" w:hAnsi="宋体" w:eastAsia="宋体"/>
          <w:sz w:val="24"/>
          <w:szCs w:val="24"/>
        </w:rPr>
        <w:t>参与监督对品牌相关的商标、版权等知识产权的管理。</w:t>
      </w:r>
    </w:p>
    <w:p>
      <w:pPr>
        <w:pStyle w:val="3"/>
        <w:spacing w:before="0" w:after="0" w:line="360" w:lineRule="auto"/>
        <w:rPr>
          <w:rFonts w:ascii="宋体" w:hAnsi="宋体" w:eastAsia="宋体"/>
          <w:sz w:val="24"/>
          <w:szCs w:val="24"/>
        </w:rPr>
      </w:pPr>
      <w:bookmarkStart w:id="10" w:name="_Toc47270888"/>
      <w:r>
        <w:rPr>
          <w:rFonts w:ascii="宋体" w:hAnsi="宋体" w:eastAsia="宋体"/>
          <w:sz w:val="24"/>
          <w:szCs w:val="24"/>
        </w:rPr>
        <w:t>5.2 品质</w:t>
      </w:r>
      <w:bookmarkEnd w:id="10"/>
    </w:p>
    <w:p>
      <w:pPr>
        <w:spacing w:line="360" w:lineRule="auto"/>
        <w:rPr>
          <w:rFonts w:ascii="宋体" w:hAnsi="宋体" w:eastAsia="宋体"/>
          <w:b/>
          <w:bCs/>
          <w:sz w:val="24"/>
          <w:szCs w:val="24"/>
        </w:rPr>
      </w:pPr>
      <w:r>
        <w:rPr>
          <w:rFonts w:ascii="宋体" w:hAnsi="宋体" w:eastAsia="宋体"/>
          <w:b/>
          <w:bCs/>
          <w:sz w:val="24"/>
          <w:szCs w:val="24"/>
        </w:rPr>
        <w:t>5.2.1 企业品质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2011中5.2.1的要求</w:t>
      </w:r>
      <w:r>
        <w:rPr>
          <w:rFonts w:hint="eastAsia" w:ascii="宋体" w:hAnsi="宋体" w:eastAsia="宋体"/>
          <w:sz w:val="24"/>
          <w:szCs w:val="24"/>
        </w:rPr>
        <w:t>，此外企业保障产品和服务质量的措施包括但不限于：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a）保持质量管理水平，建立并运行质量管理体系；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b）建立并运行测量管理体系、信息安全管理体系或产品质量溯源体系。</w:t>
      </w:r>
    </w:p>
    <w:p>
      <w:pPr>
        <w:spacing w:line="360" w:lineRule="auto"/>
        <w:rPr>
          <w:rFonts w:ascii="宋体" w:hAnsi="宋体" w:eastAsia="宋体"/>
          <w:b/>
          <w:bCs/>
          <w:sz w:val="24"/>
          <w:szCs w:val="24"/>
        </w:rPr>
      </w:pPr>
      <w:r>
        <w:rPr>
          <w:rFonts w:ascii="宋体" w:hAnsi="宋体" w:eastAsia="宋体"/>
          <w:b/>
          <w:bCs/>
          <w:sz w:val="24"/>
          <w:szCs w:val="24"/>
        </w:rPr>
        <w:t>5.2.2 商品质量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2011中5.2.2的要求</w:t>
      </w:r>
      <w:r>
        <w:rPr>
          <w:rFonts w:hint="eastAsia" w:ascii="宋体" w:hAnsi="宋体" w:eastAsia="宋体"/>
          <w:sz w:val="24"/>
          <w:szCs w:val="24"/>
        </w:rPr>
        <w:t>，此外：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a）企业应提供商品质量安全、质量信用、质量保障等方面的相关证据；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b）企业从核心自主知识产权、科技成果转化能力、研究开发的组织管理水平、企业成长性四个方面进行了创新能力评价；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c）所供的商品具有自主知识产权，且权益状况明确（获得专利权权属或许可），不存在知识产权权属纠纷。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d）企业商品质量应考虑广州行政区域内的政策要求。</w:t>
      </w:r>
    </w:p>
    <w:p>
      <w:pPr>
        <w:spacing w:line="360" w:lineRule="auto"/>
        <w:rPr>
          <w:rFonts w:ascii="宋体" w:hAnsi="宋体" w:eastAsia="宋体"/>
          <w:b/>
          <w:bCs/>
          <w:sz w:val="24"/>
          <w:szCs w:val="24"/>
        </w:rPr>
      </w:pPr>
      <w:r>
        <w:rPr>
          <w:rFonts w:ascii="宋体" w:hAnsi="宋体" w:eastAsia="宋体"/>
          <w:b/>
          <w:bCs/>
          <w:sz w:val="24"/>
          <w:szCs w:val="24"/>
        </w:rPr>
        <w:t>5.2.3 服务质量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2011中5.2.3的要求</w:t>
      </w:r>
      <w:r>
        <w:rPr>
          <w:rFonts w:hint="eastAsia" w:ascii="宋体" w:hAnsi="宋体" w:eastAsia="宋体"/>
          <w:sz w:val="24"/>
          <w:szCs w:val="24"/>
        </w:rPr>
        <w:t>，此外</w:t>
      </w:r>
      <w:r>
        <w:rPr>
          <w:rFonts w:ascii="宋体" w:hAnsi="宋体" w:eastAsia="宋体"/>
          <w:sz w:val="24"/>
          <w:szCs w:val="24"/>
        </w:rPr>
        <w:t>企业服务</w:t>
      </w:r>
      <w:r>
        <w:rPr>
          <w:rFonts w:hint="eastAsia" w:ascii="宋体" w:hAnsi="宋体" w:eastAsia="宋体"/>
          <w:sz w:val="24"/>
          <w:szCs w:val="24"/>
        </w:rPr>
        <w:t>质量</w:t>
      </w:r>
      <w:r>
        <w:rPr>
          <w:rFonts w:ascii="宋体" w:hAnsi="宋体" w:eastAsia="宋体"/>
          <w:sz w:val="24"/>
          <w:szCs w:val="24"/>
        </w:rPr>
        <w:t>应考虑广州行政区域</w:t>
      </w:r>
      <w:r>
        <w:rPr>
          <w:rFonts w:hint="eastAsia" w:ascii="宋体" w:hAnsi="宋体" w:eastAsia="宋体"/>
          <w:sz w:val="24"/>
          <w:szCs w:val="24"/>
        </w:rPr>
        <w:t>内</w:t>
      </w:r>
      <w:r>
        <w:rPr>
          <w:rFonts w:ascii="宋体" w:hAnsi="宋体" w:eastAsia="宋体"/>
          <w:sz w:val="24"/>
          <w:szCs w:val="24"/>
        </w:rPr>
        <w:t>顾客的特点</w:t>
      </w:r>
      <w:r>
        <w:rPr>
          <w:rFonts w:hint="eastAsia" w:ascii="宋体" w:hAnsi="宋体" w:eastAsia="宋体"/>
          <w:sz w:val="24"/>
          <w:szCs w:val="24"/>
        </w:rPr>
        <w:t>。</w:t>
      </w:r>
    </w:p>
    <w:p>
      <w:pPr>
        <w:pStyle w:val="3"/>
        <w:spacing w:before="0" w:after="0" w:line="360" w:lineRule="auto"/>
        <w:rPr>
          <w:rFonts w:ascii="宋体" w:hAnsi="宋体" w:eastAsia="宋体"/>
          <w:sz w:val="24"/>
          <w:szCs w:val="24"/>
        </w:rPr>
      </w:pPr>
      <w:bookmarkStart w:id="11" w:name="_Toc47270889"/>
      <w:r>
        <w:rPr>
          <w:rFonts w:ascii="宋体" w:hAnsi="宋体" w:eastAsia="宋体"/>
          <w:sz w:val="24"/>
          <w:szCs w:val="24"/>
        </w:rPr>
        <w:t>5.3 声誉</w:t>
      </w:r>
      <w:bookmarkEnd w:id="11"/>
    </w:p>
    <w:p>
      <w:pPr>
        <w:spacing w:line="360" w:lineRule="auto"/>
        <w:rPr>
          <w:rFonts w:ascii="宋体" w:hAnsi="宋体" w:eastAsia="宋体"/>
          <w:b/>
          <w:bCs/>
          <w:sz w:val="24"/>
          <w:szCs w:val="24"/>
        </w:rPr>
      </w:pPr>
      <w:r>
        <w:rPr>
          <w:rFonts w:ascii="宋体" w:hAnsi="宋体" w:eastAsia="宋体"/>
          <w:b/>
          <w:bCs/>
          <w:sz w:val="24"/>
          <w:szCs w:val="24"/>
        </w:rPr>
        <w:t>5.3.1 品牌知名度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27925-2011中5.3.1的要求</w:t>
      </w:r>
      <w:r>
        <w:rPr>
          <w:rFonts w:hint="eastAsia" w:ascii="宋体" w:hAnsi="宋体" w:eastAsia="宋体"/>
          <w:sz w:val="24"/>
          <w:szCs w:val="24"/>
        </w:rPr>
        <w:t>，此外：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a）对企业标识实施了保护，包括但不限于版权登记或商标注册；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b）如对企业标识进行了商标注册，则商标类别要能够覆盖企业产品；</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c）在广州行政区域范围内的具有较高的品牌知名度。</w:t>
      </w:r>
    </w:p>
    <w:p>
      <w:pPr>
        <w:spacing w:line="360" w:lineRule="auto"/>
        <w:rPr>
          <w:rFonts w:ascii="宋体" w:hAnsi="宋体" w:eastAsia="宋体"/>
          <w:b/>
          <w:bCs/>
          <w:sz w:val="24"/>
          <w:szCs w:val="24"/>
        </w:rPr>
      </w:pPr>
      <w:r>
        <w:rPr>
          <w:rFonts w:ascii="宋体" w:hAnsi="宋体" w:eastAsia="宋体"/>
          <w:b/>
          <w:bCs/>
          <w:sz w:val="24"/>
          <w:szCs w:val="24"/>
        </w:rPr>
        <w:t>5.3.2 品牌美誉度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27925-2011中5.3.2的要求</w:t>
      </w:r>
      <w:r>
        <w:rPr>
          <w:rFonts w:hint="eastAsia" w:ascii="宋体" w:hAnsi="宋体" w:eastAsia="宋体"/>
          <w:sz w:val="24"/>
          <w:szCs w:val="24"/>
        </w:rPr>
        <w:t>。</w:t>
      </w:r>
    </w:p>
    <w:p>
      <w:pPr>
        <w:spacing w:line="360" w:lineRule="auto"/>
        <w:rPr>
          <w:rFonts w:ascii="宋体" w:hAnsi="宋体" w:eastAsia="宋体"/>
          <w:b/>
          <w:bCs/>
          <w:sz w:val="24"/>
          <w:szCs w:val="24"/>
        </w:rPr>
      </w:pPr>
      <w:r>
        <w:rPr>
          <w:rFonts w:ascii="宋体" w:hAnsi="宋体" w:eastAsia="宋体"/>
          <w:b/>
          <w:bCs/>
          <w:sz w:val="24"/>
          <w:szCs w:val="24"/>
        </w:rPr>
        <w:t>5.3.3 品牌忠诚度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27925-2011中5.3.3的要求</w:t>
      </w:r>
      <w:r>
        <w:rPr>
          <w:rFonts w:hint="eastAsia" w:ascii="宋体" w:hAnsi="宋体" w:eastAsia="宋体"/>
          <w:sz w:val="24"/>
          <w:szCs w:val="24"/>
        </w:rPr>
        <w:t>。</w:t>
      </w:r>
    </w:p>
    <w:p>
      <w:pPr>
        <w:spacing w:line="360" w:lineRule="auto"/>
        <w:rPr>
          <w:rFonts w:ascii="宋体" w:hAnsi="宋体" w:eastAsia="宋体"/>
          <w:b/>
          <w:bCs/>
          <w:sz w:val="24"/>
          <w:szCs w:val="24"/>
        </w:rPr>
      </w:pPr>
      <w:r>
        <w:rPr>
          <w:rFonts w:ascii="宋体" w:hAnsi="宋体" w:eastAsia="宋体"/>
          <w:b/>
          <w:bCs/>
          <w:sz w:val="24"/>
          <w:szCs w:val="24"/>
        </w:rPr>
        <w:t>5.3.4 社会责任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27925-2011中5.3.4的要求</w:t>
      </w:r>
      <w:r>
        <w:rPr>
          <w:rFonts w:hint="eastAsia" w:ascii="宋体" w:hAnsi="宋体" w:eastAsia="宋体"/>
          <w:sz w:val="24"/>
          <w:szCs w:val="24"/>
        </w:rPr>
        <w:t>，此外：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履行社会责任及发布社会责任报告，报告内容要面向企业所有利益相关方，包含可持续发展理念，披露企业与利益相关方在共同创造价值过程中面临的机遇和挑战、为实现可持续发展制定的战略和管理举措以及所做的努力等。</w:t>
      </w:r>
    </w:p>
    <w:p>
      <w:pPr>
        <w:spacing w:line="360" w:lineRule="auto"/>
        <w:rPr>
          <w:rFonts w:ascii="宋体" w:hAnsi="宋体" w:eastAsia="宋体"/>
          <w:b/>
          <w:bCs/>
          <w:sz w:val="24"/>
          <w:szCs w:val="24"/>
        </w:rPr>
      </w:pPr>
      <w:r>
        <w:rPr>
          <w:rFonts w:ascii="宋体" w:hAnsi="宋体" w:eastAsia="宋体"/>
          <w:b/>
          <w:bCs/>
          <w:sz w:val="24"/>
          <w:szCs w:val="24"/>
        </w:rPr>
        <w:t>5.3.5 诚信</w:t>
      </w:r>
    </w:p>
    <w:p>
      <w:pPr>
        <w:spacing w:line="360" w:lineRule="auto"/>
        <w:ind w:firstLine="480" w:firstLineChars="200"/>
        <w:rPr>
          <w:rFonts w:ascii="宋体" w:hAnsi="宋体" w:eastAsia="宋体"/>
          <w:sz w:val="24"/>
          <w:szCs w:val="24"/>
        </w:rPr>
      </w:pPr>
      <w:bookmarkStart w:id="12" w:name="_Toc47270890"/>
      <w:r>
        <w:rPr>
          <w:rFonts w:hint="eastAsia" w:ascii="宋体" w:hAnsi="宋体" w:eastAsia="宋体"/>
          <w:sz w:val="24"/>
          <w:szCs w:val="24"/>
        </w:rPr>
        <w:t>应符合</w:t>
      </w:r>
      <w:r>
        <w:rPr>
          <w:rFonts w:ascii="宋体" w:hAnsi="宋体" w:eastAsia="宋体"/>
          <w:sz w:val="24"/>
          <w:szCs w:val="24"/>
        </w:rPr>
        <w:t>GB/T 27925-2011中5.3.5的要求</w:t>
      </w:r>
      <w:r>
        <w:rPr>
          <w:rFonts w:hint="eastAsia" w:ascii="宋体" w:hAnsi="宋体" w:eastAsia="宋体"/>
          <w:sz w:val="24"/>
          <w:szCs w:val="24"/>
        </w:rPr>
        <w:t>。</w:t>
      </w:r>
    </w:p>
    <w:p>
      <w:pPr>
        <w:pStyle w:val="3"/>
        <w:spacing w:before="0" w:after="0" w:line="360" w:lineRule="auto"/>
        <w:rPr>
          <w:rFonts w:ascii="宋体" w:hAnsi="宋体" w:eastAsia="宋体"/>
          <w:sz w:val="24"/>
          <w:szCs w:val="24"/>
        </w:rPr>
      </w:pPr>
      <w:r>
        <w:rPr>
          <w:rFonts w:ascii="宋体" w:hAnsi="宋体" w:eastAsia="宋体"/>
          <w:sz w:val="24"/>
          <w:szCs w:val="24"/>
        </w:rPr>
        <w:t>5.4 企业文化</w:t>
      </w:r>
      <w:bookmarkEnd w:id="12"/>
    </w:p>
    <w:p>
      <w:pPr>
        <w:spacing w:line="360" w:lineRule="auto"/>
        <w:rPr>
          <w:rFonts w:ascii="宋体" w:hAnsi="宋体" w:eastAsia="宋体"/>
          <w:b/>
          <w:bCs/>
          <w:sz w:val="24"/>
          <w:szCs w:val="24"/>
        </w:rPr>
      </w:pPr>
      <w:r>
        <w:rPr>
          <w:rFonts w:ascii="宋体" w:hAnsi="宋体" w:eastAsia="宋体"/>
          <w:b/>
          <w:bCs/>
          <w:sz w:val="24"/>
          <w:szCs w:val="24"/>
        </w:rPr>
        <w:t>5.4.1 精神信念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27925-2011中5.4.1的要求</w:t>
      </w:r>
      <w:r>
        <w:rPr>
          <w:rFonts w:hint="eastAsia" w:ascii="宋体" w:hAnsi="宋体" w:eastAsia="宋体"/>
          <w:sz w:val="24"/>
          <w:szCs w:val="24"/>
        </w:rPr>
        <w:t>。</w:t>
      </w:r>
    </w:p>
    <w:p>
      <w:pPr>
        <w:spacing w:line="360" w:lineRule="auto"/>
        <w:rPr>
          <w:rFonts w:ascii="宋体" w:hAnsi="宋体" w:eastAsia="宋体"/>
          <w:b/>
          <w:bCs/>
          <w:sz w:val="24"/>
          <w:szCs w:val="24"/>
        </w:rPr>
      </w:pPr>
      <w:r>
        <w:rPr>
          <w:rFonts w:ascii="宋体" w:hAnsi="宋体" w:eastAsia="宋体"/>
          <w:b/>
          <w:bCs/>
          <w:sz w:val="24"/>
          <w:szCs w:val="24"/>
        </w:rPr>
        <w:t>5.4.2 宣传推广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27925-2011中5.4.2的要求</w:t>
      </w:r>
      <w:r>
        <w:rPr>
          <w:rFonts w:hint="eastAsia" w:ascii="宋体" w:hAnsi="宋体" w:eastAsia="宋体"/>
          <w:sz w:val="24"/>
          <w:szCs w:val="24"/>
        </w:rPr>
        <w:t>，此外：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a）企业文化宣传推广前建立舆情监控机制，保障品牌声誉；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b）品牌推广前，制定了品牌相关的知识产权保护和风险规避方案；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c）应考虑在广州行政区域范围内对企业文化的宣传推广程度。</w:t>
      </w:r>
    </w:p>
    <w:p>
      <w:pPr>
        <w:spacing w:line="360" w:lineRule="auto"/>
        <w:rPr>
          <w:rFonts w:ascii="宋体" w:hAnsi="宋体" w:eastAsia="宋体"/>
          <w:b/>
          <w:bCs/>
          <w:sz w:val="24"/>
          <w:szCs w:val="24"/>
        </w:rPr>
      </w:pPr>
      <w:r>
        <w:rPr>
          <w:rFonts w:ascii="宋体" w:hAnsi="宋体" w:eastAsia="宋体"/>
          <w:b/>
          <w:bCs/>
          <w:sz w:val="24"/>
          <w:szCs w:val="24"/>
        </w:rPr>
        <w:t>5.4.3 顾客感知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27925-2011中5.4.3的要求</w:t>
      </w:r>
      <w:r>
        <w:rPr>
          <w:rFonts w:hint="eastAsia" w:ascii="宋体" w:hAnsi="宋体" w:eastAsia="宋体"/>
          <w:sz w:val="24"/>
          <w:szCs w:val="24"/>
        </w:rPr>
        <w:t>。</w:t>
      </w:r>
    </w:p>
    <w:p>
      <w:pPr>
        <w:spacing w:line="360" w:lineRule="auto"/>
        <w:rPr>
          <w:rFonts w:ascii="宋体" w:hAnsi="宋体" w:eastAsia="宋体"/>
          <w:b/>
          <w:bCs/>
          <w:sz w:val="24"/>
          <w:szCs w:val="24"/>
        </w:rPr>
      </w:pPr>
      <w:r>
        <w:rPr>
          <w:rFonts w:ascii="宋体" w:hAnsi="宋体" w:eastAsia="宋体"/>
          <w:b/>
          <w:bCs/>
          <w:sz w:val="24"/>
          <w:szCs w:val="24"/>
        </w:rPr>
        <w:t>5.4.4业界交流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27925-2011中5.4.4的要求</w:t>
      </w:r>
      <w:r>
        <w:rPr>
          <w:rFonts w:hint="eastAsia" w:ascii="宋体" w:hAnsi="宋体" w:eastAsia="宋体"/>
          <w:sz w:val="24"/>
          <w:szCs w:val="24"/>
        </w:rPr>
        <w:t>。</w:t>
      </w:r>
    </w:p>
    <w:p>
      <w:pPr>
        <w:pStyle w:val="3"/>
        <w:spacing w:before="0" w:after="0" w:line="360" w:lineRule="auto"/>
        <w:rPr>
          <w:rFonts w:ascii="宋体" w:hAnsi="宋体" w:eastAsia="宋体"/>
          <w:sz w:val="24"/>
          <w:szCs w:val="24"/>
        </w:rPr>
      </w:pPr>
      <w:bookmarkStart w:id="13" w:name="_Toc47270891"/>
      <w:r>
        <w:rPr>
          <w:rFonts w:ascii="宋体" w:hAnsi="宋体" w:eastAsia="宋体"/>
          <w:sz w:val="24"/>
          <w:szCs w:val="24"/>
        </w:rPr>
        <w:t>5.5影响</w:t>
      </w:r>
      <w:bookmarkEnd w:id="13"/>
    </w:p>
    <w:p>
      <w:pPr>
        <w:spacing w:line="360" w:lineRule="auto"/>
        <w:rPr>
          <w:rFonts w:ascii="宋体" w:hAnsi="宋体" w:eastAsia="宋体"/>
          <w:b/>
          <w:bCs/>
          <w:sz w:val="24"/>
          <w:szCs w:val="24"/>
        </w:rPr>
      </w:pPr>
      <w:r>
        <w:rPr>
          <w:rFonts w:ascii="宋体" w:hAnsi="宋体" w:eastAsia="宋体"/>
          <w:b/>
          <w:bCs/>
          <w:sz w:val="24"/>
          <w:szCs w:val="24"/>
        </w:rPr>
        <w:t>5.5.1企业具有一定的行业影响力</w:t>
      </w:r>
    </w:p>
    <w:p>
      <w:pPr>
        <w:spacing w:line="360" w:lineRule="auto"/>
        <w:ind w:firstLine="48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27925-2011中5.5.1的要求，此外：</w:t>
      </w:r>
    </w:p>
    <w:p>
      <w:pPr>
        <w:pStyle w:val="16"/>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企业在行业中处于领导地位；</w:t>
      </w:r>
    </w:p>
    <w:p>
      <w:pPr>
        <w:pStyle w:val="16"/>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产品市场的开拓情况，明确国内外市场情况及份额；</w:t>
      </w:r>
    </w:p>
    <w:p>
      <w:pPr>
        <w:pStyle w:val="16"/>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参与地方、行业、国家、国际标准的制定情况；</w:t>
      </w:r>
    </w:p>
    <w:p>
      <w:pPr>
        <w:pStyle w:val="16"/>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应考虑广州行政区域范围内的行业影响力。</w:t>
      </w:r>
    </w:p>
    <w:p>
      <w:pPr>
        <w:spacing w:line="360" w:lineRule="auto"/>
        <w:rPr>
          <w:rFonts w:ascii="宋体" w:hAnsi="宋体" w:eastAsia="宋体"/>
          <w:b/>
          <w:bCs/>
          <w:sz w:val="24"/>
          <w:szCs w:val="24"/>
        </w:rPr>
      </w:pPr>
      <w:r>
        <w:rPr>
          <w:rFonts w:ascii="宋体" w:hAnsi="宋体" w:eastAsia="宋体"/>
          <w:b/>
          <w:bCs/>
          <w:sz w:val="24"/>
          <w:szCs w:val="24"/>
        </w:rPr>
        <w:t>5.5.2企业具有一定的社会影响力</w:t>
      </w:r>
    </w:p>
    <w:p>
      <w:pPr>
        <w:spacing w:line="360" w:lineRule="auto"/>
        <w:ind w:firstLine="480"/>
        <w:rPr>
          <w:rFonts w:ascii="宋体" w:hAnsi="宋体" w:eastAsia="宋体"/>
          <w:sz w:val="24"/>
          <w:szCs w:val="24"/>
        </w:rPr>
      </w:pPr>
      <w:r>
        <w:rPr>
          <w:rFonts w:hint="eastAsia" w:ascii="宋体" w:hAnsi="宋体" w:eastAsia="宋体"/>
          <w:sz w:val="24"/>
          <w:szCs w:val="24"/>
        </w:rPr>
        <w:t>应符合</w:t>
      </w:r>
      <w:r>
        <w:rPr>
          <w:rFonts w:ascii="宋体" w:hAnsi="宋体" w:eastAsia="宋体"/>
          <w:sz w:val="24"/>
          <w:szCs w:val="24"/>
        </w:rPr>
        <w:t>GB/T 27925-2011中5.5.2的要求，此外：</w:t>
      </w:r>
    </w:p>
    <w:p>
      <w:pPr>
        <w:pStyle w:val="1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对实现国际化的品牌，要保持品牌形象一致，且品牌相关的知识产权进行了境外申请、注册或登记。</w:t>
      </w:r>
    </w:p>
    <w:p>
      <w:pPr>
        <w:pStyle w:val="16"/>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应考虑广州行政区域范围内的社会影响力。</w:t>
      </w:r>
    </w:p>
    <w:p>
      <w:pPr>
        <w:pStyle w:val="2"/>
        <w:spacing w:before="0" w:after="0" w:line="360" w:lineRule="auto"/>
        <w:rPr>
          <w:rFonts w:ascii="宋体" w:hAnsi="宋体" w:eastAsia="宋体"/>
          <w:sz w:val="24"/>
          <w:szCs w:val="24"/>
        </w:rPr>
      </w:pPr>
      <w:bookmarkStart w:id="14" w:name="_Toc47270892"/>
      <w:r>
        <w:rPr>
          <w:rFonts w:ascii="宋体" w:hAnsi="宋体" w:eastAsia="宋体"/>
          <w:sz w:val="24"/>
          <w:szCs w:val="24"/>
        </w:rPr>
        <w:t>6评价方法</w:t>
      </w:r>
      <w:bookmarkEnd w:id="14"/>
    </w:p>
    <w:p>
      <w:pPr>
        <w:pStyle w:val="3"/>
        <w:spacing w:before="0" w:after="0" w:line="360" w:lineRule="auto"/>
        <w:rPr>
          <w:rFonts w:ascii="宋体" w:hAnsi="宋体" w:eastAsia="宋体"/>
          <w:sz w:val="24"/>
          <w:szCs w:val="24"/>
        </w:rPr>
      </w:pPr>
      <w:bookmarkStart w:id="15" w:name="_Toc47270893"/>
      <w:r>
        <w:rPr>
          <w:rFonts w:ascii="宋体" w:hAnsi="宋体" w:eastAsia="宋体"/>
          <w:sz w:val="24"/>
          <w:szCs w:val="24"/>
        </w:rPr>
        <w:t>6.1基本要求</w:t>
      </w:r>
      <w:bookmarkEnd w:id="15"/>
    </w:p>
    <w:p>
      <w:pPr>
        <w:spacing w:line="360" w:lineRule="auto"/>
        <w:ind w:left="480"/>
        <w:rPr>
          <w:rFonts w:ascii="宋体" w:hAnsi="宋体" w:eastAsia="宋体"/>
          <w:sz w:val="24"/>
          <w:szCs w:val="24"/>
        </w:rPr>
      </w:pPr>
      <w:r>
        <w:rPr>
          <w:rFonts w:hint="eastAsia" w:ascii="宋体" w:hAnsi="宋体" w:eastAsia="宋体"/>
          <w:sz w:val="24"/>
          <w:szCs w:val="24"/>
        </w:rPr>
        <w:t>根据本文件的规定开展广州品牌评价时</w:t>
      </w:r>
      <w:r>
        <w:rPr>
          <w:rFonts w:ascii="宋体" w:hAnsi="宋体" w:eastAsia="宋体"/>
          <w:sz w:val="24"/>
          <w:szCs w:val="24"/>
        </w:rPr>
        <w:t>，对各项指标采用评分制。</w:t>
      </w:r>
    </w:p>
    <w:p>
      <w:pPr>
        <w:spacing w:line="360" w:lineRule="auto"/>
        <w:ind w:firstLine="480"/>
        <w:rPr>
          <w:rFonts w:ascii="宋体" w:hAnsi="宋体" w:eastAsia="宋体"/>
          <w:sz w:val="24"/>
          <w:szCs w:val="24"/>
        </w:rPr>
      </w:pPr>
      <w:r>
        <w:rPr>
          <w:rFonts w:hint="eastAsia" w:ascii="宋体" w:hAnsi="宋体" w:eastAsia="宋体"/>
          <w:sz w:val="24"/>
          <w:szCs w:val="24"/>
        </w:rPr>
        <w:t>具体要点如下所述</w:t>
      </w:r>
      <w:r>
        <w:rPr>
          <w:rFonts w:ascii="宋体" w:hAnsi="宋体" w:eastAsia="宋体"/>
          <w:sz w:val="24"/>
          <w:szCs w:val="24"/>
        </w:rPr>
        <w:t>：</w:t>
      </w:r>
    </w:p>
    <w:p>
      <w:pPr>
        <w:pStyle w:val="16"/>
        <w:numPr>
          <w:ilvl w:val="0"/>
          <w:numId w:val="5"/>
        </w:numPr>
        <w:spacing w:line="360" w:lineRule="auto"/>
        <w:ind w:firstLineChars="0"/>
        <w:rPr>
          <w:rFonts w:ascii="宋体" w:hAnsi="宋体" w:eastAsia="宋体"/>
          <w:sz w:val="24"/>
          <w:szCs w:val="24"/>
        </w:rPr>
      </w:pPr>
      <w:r>
        <w:rPr>
          <w:rFonts w:ascii="宋体" w:hAnsi="宋体" w:eastAsia="宋体"/>
          <w:sz w:val="24"/>
          <w:szCs w:val="24"/>
        </w:rPr>
        <w:t>商业企业在品牌建设过程中所采用的方式、方法和形式；</w:t>
      </w:r>
    </w:p>
    <w:p>
      <w:pPr>
        <w:pStyle w:val="16"/>
        <w:numPr>
          <w:ilvl w:val="0"/>
          <w:numId w:val="5"/>
        </w:numPr>
        <w:spacing w:line="360" w:lineRule="auto"/>
        <w:ind w:firstLineChars="0"/>
        <w:rPr>
          <w:rFonts w:ascii="宋体" w:hAnsi="宋体" w:eastAsia="宋体"/>
          <w:sz w:val="24"/>
          <w:szCs w:val="24"/>
        </w:rPr>
      </w:pPr>
      <w:r>
        <w:rPr>
          <w:rFonts w:ascii="宋体" w:hAnsi="宋体" w:eastAsia="宋体"/>
          <w:sz w:val="24"/>
          <w:szCs w:val="24"/>
        </w:rPr>
        <w:t>所使用的方式、方法与标准评分项要求的适宜性及有效性；</w:t>
      </w:r>
    </w:p>
    <w:p>
      <w:pPr>
        <w:pStyle w:val="16"/>
        <w:numPr>
          <w:ilvl w:val="0"/>
          <w:numId w:val="5"/>
        </w:numPr>
        <w:spacing w:line="360" w:lineRule="auto"/>
        <w:ind w:firstLineChars="0"/>
        <w:rPr>
          <w:rFonts w:ascii="宋体" w:hAnsi="宋体" w:eastAsia="宋体"/>
          <w:sz w:val="24"/>
          <w:szCs w:val="24"/>
        </w:rPr>
      </w:pPr>
      <w:r>
        <w:rPr>
          <w:rFonts w:ascii="宋体" w:hAnsi="宋体" w:eastAsia="宋体"/>
          <w:sz w:val="24"/>
          <w:szCs w:val="24"/>
        </w:rPr>
        <w:t>各种方式、方法的可重复性，是否以可靠的数据和信息为基础；</w:t>
      </w:r>
    </w:p>
    <w:p>
      <w:pPr>
        <w:pStyle w:val="16"/>
        <w:numPr>
          <w:ilvl w:val="0"/>
          <w:numId w:val="5"/>
        </w:numPr>
        <w:spacing w:line="360" w:lineRule="auto"/>
        <w:ind w:firstLineChars="0"/>
        <w:rPr>
          <w:rFonts w:ascii="宋体" w:hAnsi="宋体" w:eastAsia="宋体"/>
          <w:sz w:val="24"/>
          <w:szCs w:val="24"/>
        </w:rPr>
      </w:pPr>
      <w:r>
        <w:rPr>
          <w:rFonts w:ascii="宋体" w:hAnsi="宋体" w:eastAsia="宋体"/>
          <w:sz w:val="24"/>
          <w:szCs w:val="24"/>
        </w:rPr>
        <w:t>为实现标准评分项要求所采用方法的展开程度；</w:t>
      </w:r>
    </w:p>
    <w:p>
      <w:pPr>
        <w:pStyle w:val="16"/>
        <w:numPr>
          <w:ilvl w:val="0"/>
          <w:numId w:val="5"/>
        </w:numPr>
        <w:spacing w:line="360" w:lineRule="auto"/>
        <w:ind w:firstLineChars="0"/>
        <w:rPr>
          <w:rFonts w:ascii="宋体" w:hAnsi="宋体" w:eastAsia="宋体"/>
          <w:sz w:val="24"/>
          <w:szCs w:val="24"/>
        </w:rPr>
      </w:pPr>
      <w:r>
        <w:rPr>
          <w:rFonts w:ascii="宋体" w:hAnsi="宋体" w:eastAsia="宋体"/>
          <w:sz w:val="24"/>
          <w:szCs w:val="24"/>
        </w:rPr>
        <w:t>企业品牌建设的当前水平和取得的效果与反应。</w:t>
      </w:r>
    </w:p>
    <w:p>
      <w:pPr>
        <w:pStyle w:val="3"/>
        <w:spacing w:before="0" w:after="0" w:line="360" w:lineRule="auto"/>
        <w:rPr>
          <w:rFonts w:ascii="宋体" w:hAnsi="宋体" w:eastAsia="宋体"/>
          <w:sz w:val="24"/>
          <w:szCs w:val="24"/>
        </w:rPr>
      </w:pPr>
      <w:bookmarkStart w:id="16" w:name="_Toc47270894"/>
      <w:r>
        <w:rPr>
          <w:rFonts w:ascii="宋体" w:hAnsi="宋体" w:eastAsia="宋体"/>
          <w:sz w:val="24"/>
          <w:szCs w:val="24"/>
        </w:rPr>
        <w:t>6.2评分</w:t>
      </w:r>
      <w:bookmarkEnd w:id="16"/>
    </w:p>
    <w:p>
      <w:pPr>
        <w:spacing w:line="360" w:lineRule="auto"/>
        <w:ind w:firstLine="480"/>
        <w:rPr>
          <w:rFonts w:ascii="宋体" w:hAnsi="宋体" w:eastAsia="宋体"/>
          <w:sz w:val="24"/>
          <w:szCs w:val="24"/>
        </w:rPr>
      </w:pPr>
      <w:r>
        <w:rPr>
          <w:rFonts w:ascii="宋体" w:hAnsi="宋体" w:eastAsia="宋体"/>
          <w:sz w:val="24"/>
          <w:szCs w:val="24"/>
        </w:rPr>
        <w:t>评价结果的等级和表述方式如下：</w:t>
      </w:r>
    </w:p>
    <w:p>
      <w:pPr>
        <w:pStyle w:val="16"/>
        <w:numPr>
          <w:ilvl w:val="0"/>
          <w:numId w:val="6"/>
        </w:numPr>
        <w:spacing w:line="360" w:lineRule="auto"/>
        <w:ind w:firstLineChars="0"/>
        <w:rPr>
          <w:rFonts w:ascii="宋体" w:hAnsi="宋体" w:eastAsia="宋体"/>
          <w:sz w:val="24"/>
          <w:szCs w:val="24"/>
        </w:rPr>
      </w:pPr>
      <w:r>
        <w:rPr>
          <w:rFonts w:ascii="宋体" w:hAnsi="宋体" w:eastAsia="宋体"/>
          <w:sz w:val="24"/>
          <w:szCs w:val="24"/>
        </w:rPr>
        <w:t>950分以上</w:t>
      </w:r>
      <w:r>
        <w:rPr>
          <w:rFonts w:hint="eastAsia" w:ascii="宋体" w:hAnsi="宋体" w:eastAsia="宋体"/>
          <w:sz w:val="24"/>
          <w:szCs w:val="24"/>
        </w:rPr>
        <w:t>（</w:t>
      </w:r>
      <w:r>
        <w:rPr>
          <w:rFonts w:ascii="宋体" w:hAnsi="宋体" w:eastAsia="宋体"/>
          <w:sz w:val="24"/>
          <w:szCs w:val="24"/>
        </w:rPr>
        <w:t>含950分</w:t>
      </w:r>
      <w:r>
        <w:rPr>
          <w:rFonts w:hint="eastAsia" w:ascii="宋体" w:hAnsi="宋体" w:eastAsia="宋体"/>
          <w:sz w:val="24"/>
          <w:szCs w:val="24"/>
        </w:rPr>
        <w:t>）</w:t>
      </w:r>
      <w:r>
        <w:rPr>
          <w:rFonts w:ascii="宋体" w:hAnsi="宋体" w:eastAsia="宋体"/>
          <w:sz w:val="24"/>
          <w:szCs w:val="24"/>
        </w:rPr>
        <w:t>，五星品牌；</w:t>
      </w:r>
    </w:p>
    <w:p>
      <w:pPr>
        <w:pStyle w:val="16"/>
        <w:numPr>
          <w:ilvl w:val="0"/>
          <w:numId w:val="6"/>
        </w:numPr>
        <w:spacing w:line="360" w:lineRule="auto"/>
        <w:ind w:firstLineChars="0"/>
        <w:rPr>
          <w:rFonts w:ascii="宋体" w:hAnsi="宋体" w:eastAsia="宋体"/>
          <w:sz w:val="24"/>
          <w:szCs w:val="24"/>
        </w:rPr>
      </w:pPr>
      <w:r>
        <w:rPr>
          <w:rFonts w:ascii="宋体" w:hAnsi="宋体" w:eastAsia="宋体"/>
          <w:sz w:val="24"/>
          <w:szCs w:val="24"/>
        </w:rPr>
        <w:t>900分以上</w:t>
      </w:r>
      <w:r>
        <w:rPr>
          <w:rFonts w:hint="eastAsia" w:ascii="宋体" w:hAnsi="宋体" w:eastAsia="宋体"/>
          <w:sz w:val="24"/>
          <w:szCs w:val="24"/>
        </w:rPr>
        <w:t>（</w:t>
      </w:r>
      <w:r>
        <w:rPr>
          <w:rFonts w:ascii="宋体" w:hAnsi="宋体" w:eastAsia="宋体"/>
          <w:sz w:val="24"/>
          <w:szCs w:val="24"/>
        </w:rPr>
        <w:t>含900分</w:t>
      </w:r>
      <w:r>
        <w:rPr>
          <w:rFonts w:hint="eastAsia" w:ascii="宋体" w:hAnsi="宋体" w:eastAsia="宋体"/>
          <w:sz w:val="24"/>
          <w:szCs w:val="24"/>
        </w:rPr>
        <w:t>）</w:t>
      </w:r>
      <w:r>
        <w:rPr>
          <w:rFonts w:ascii="宋体" w:hAnsi="宋体" w:eastAsia="宋体"/>
          <w:sz w:val="24"/>
          <w:szCs w:val="24"/>
        </w:rPr>
        <w:t>，四星品牌；</w:t>
      </w:r>
    </w:p>
    <w:p>
      <w:pPr>
        <w:pStyle w:val="16"/>
        <w:numPr>
          <w:ilvl w:val="0"/>
          <w:numId w:val="6"/>
        </w:numPr>
        <w:spacing w:line="360" w:lineRule="auto"/>
        <w:ind w:firstLineChars="0"/>
        <w:rPr>
          <w:rFonts w:ascii="宋体" w:hAnsi="宋体" w:eastAsia="宋体"/>
          <w:sz w:val="24"/>
          <w:szCs w:val="24"/>
        </w:rPr>
      </w:pPr>
      <w:r>
        <w:rPr>
          <w:rFonts w:ascii="宋体" w:hAnsi="宋体" w:eastAsia="宋体"/>
          <w:sz w:val="24"/>
          <w:szCs w:val="24"/>
        </w:rPr>
        <w:t>800分以上</w:t>
      </w:r>
      <w:r>
        <w:rPr>
          <w:rFonts w:hint="eastAsia" w:ascii="宋体" w:hAnsi="宋体" w:eastAsia="宋体"/>
          <w:sz w:val="24"/>
          <w:szCs w:val="24"/>
        </w:rPr>
        <w:t>（</w:t>
      </w:r>
      <w:r>
        <w:rPr>
          <w:rFonts w:ascii="宋体" w:hAnsi="宋体" w:eastAsia="宋体"/>
          <w:sz w:val="24"/>
          <w:szCs w:val="24"/>
        </w:rPr>
        <w:t>含800分</w:t>
      </w:r>
      <w:r>
        <w:rPr>
          <w:rFonts w:hint="eastAsia" w:ascii="宋体" w:hAnsi="宋体" w:eastAsia="宋体"/>
          <w:sz w:val="24"/>
          <w:szCs w:val="24"/>
        </w:rPr>
        <w:t>）</w:t>
      </w:r>
      <w:r>
        <w:rPr>
          <w:rFonts w:ascii="宋体" w:hAnsi="宋体" w:eastAsia="宋体"/>
          <w:sz w:val="24"/>
          <w:szCs w:val="24"/>
        </w:rPr>
        <w:t>，三星品牌；</w:t>
      </w:r>
    </w:p>
    <w:p>
      <w:pPr>
        <w:pStyle w:val="16"/>
        <w:numPr>
          <w:ilvl w:val="0"/>
          <w:numId w:val="6"/>
        </w:numPr>
        <w:spacing w:line="360" w:lineRule="auto"/>
        <w:ind w:firstLineChars="0"/>
        <w:rPr>
          <w:rFonts w:ascii="宋体" w:hAnsi="宋体" w:eastAsia="宋体"/>
          <w:sz w:val="24"/>
          <w:szCs w:val="24"/>
        </w:rPr>
      </w:pPr>
      <w:r>
        <w:rPr>
          <w:rFonts w:ascii="宋体" w:hAnsi="宋体" w:eastAsia="宋体"/>
          <w:sz w:val="24"/>
          <w:szCs w:val="24"/>
        </w:rPr>
        <w:t>700分以上</w:t>
      </w:r>
      <w:r>
        <w:rPr>
          <w:rFonts w:hint="eastAsia" w:ascii="宋体" w:hAnsi="宋体" w:eastAsia="宋体"/>
          <w:sz w:val="24"/>
          <w:szCs w:val="24"/>
        </w:rPr>
        <w:t>（</w:t>
      </w:r>
      <w:r>
        <w:rPr>
          <w:rFonts w:ascii="宋体" w:hAnsi="宋体" w:eastAsia="宋体"/>
          <w:sz w:val="24"/>
          <w:szCs w:val="24"/>
        </w:rPr>
        <w:t>含700分</w:t>
      </w:r>
      <w:r>
        <w:rPr>
          <w:rFonts w:hint="eastAsia" w:ascii="宋体" w:hAnsi="宋体" w:eastAsia="宋体"/>
          <w:sz w:val="24"/>
          <w:szCs w:val="24"/>
        </w:rPr>
        <w:t>）</w:t>
      </w:r>
      <w:r>
        <w:rPr>
          <w:rFonts w:ascii="宋体" w:hAnsi="宋体" w:eastAsia="宋体"/>
          <w:sz w:val="24"/>
          <w:szCs w:val="24"/>
        </w:rPr>
        <w:t>，二星品牌。</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sectPr>
      <w:footerReference r:id="rId7" w:type="first"/>
      <w:pgSz w:w="11906" w:h="16838"/>
      <w:pgMar w:top="1985" w:right="1134" w:bottom="1701" w:left="1134" w:header="1418" w:footer="1418"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570075"/>
      <w:docPartObj>
        <w:docPartGallery w:val="autotext"/>
      </w:docPartObj>
    </w:sdtPr>
    <w:sdtContent>
      <w:p>
        <w:pPr>
          <w:pStyle w:val="5"/>
          <w:jc w:val="right"/>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80268"/>
      <w:docPartObj>
        <w:docPartGallery w:val="autotext"/>
      </w:docPartObj>
    </w:sdtPr>
    <w:sdtContent>
      <w:p>
        <w:pPr>
          <w:pStyle w:val="5"/>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黑体" w:hAnsi="黑体" w:eastAsia="黑体"/>
      </w:rPr>
      <w:t>T/GZCXLM 001</w:t>
    </w:r>
    <w:r>
      <w:rPr>
        <w:rFonts w:hint="eastAsia" w:ascii="黑体" w:hAnsi="黑体" w:eastAsia="黑体"/>
      </w:rPr>
      <w:t>.</w:t>
    </w:r>
    <w:r>
      <w:rPr>
        <w:rFonts w:ascii="黑体" w:hAnsi="黑体" w:eastAsia="黑体"/>
      </w:rPr>
      <w:t>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rPr>
        <w:rFonts w:ascii="黑体" w:hAnsi="黑体" w:eastAsia="黑体"/>
      </w:rPr>
      <w:t>T/GZCXLM 001</w:t>
    </w:r>
    <w:r>
      <w:rPr>
        <w:rFonts w:hint="eastAsia" w:ascii="黑体" w:hAnsi="黑体" w:eastAsia="黑体"/>
      </w:rPr>
      <w:t>.</w:t>
    </w:r>
    <w:r>
      <w:rPr>
        <w:rFonts w:ascii="黑体" w:hAnsi="黑体" w:eastAsia="黑体"/>
      </w:rPr>
      <w:t>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4E1"/>
    <w:multiLevelType w:val="multilevel"/>
    <w:tmpl w:val="0A3134E1"/>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5161614"/>
    <w:multiLevelType w:val="multilevel"/>
    <w:tmpl w:val="15161614"/>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E4C73DD"/>
    <w:multiLevelType w:val="multilevel"/>
    <w:tmpl w:val="1E4C73DD"/>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17A4D85"/>
    <w:multiLevelType w:val="multilevel"/>
    <w:tmpl w:val="317A4D85"/>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9FF3CFC"/>
    <w:multiLevelType w:val="multilevel"/>
    <w:tmpl w:val="39FF3CFC"/>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40F38EA"/>
    <w:multiLevelType w:val="multilevel"/>
    <w:tmpl w:val="440F38EA"/>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D2"/>
    <w:rsid w:val="00013925"/>
    <w:rsid w:val="00026A54"/>
    <w:rsid w:val="000324C2"/>
    <w:rsid w:val="0003274E"/>
    <w:rsid w:val="00040A56"/>
    <w:rsid w:val="00041FEF"/>
    <w:rsid w:val="00042C4D"/>
    <w:rsid w:val="000472FD"/>
    <w:rsid w:val="00061553"/>
    <w:rsid w:val="000649F7"/>
    <w:rsid w:val="00071626"/>
    <w:rsid w:val="000732C3"/>
    <w:rsid w:val="00073A6E"/>
    <w:rsid w:val="00074E66"/>
    <w:rsid w:val="000776D7"/>
    <w:rsid w:val="00082EDE"/>
    <w:rsid w:val="00085F1D"/>
    <w:rsid w:val="00094B50"/>
    <w:rsid w:val="000C4419"/>
    <w:rsid w:val="000C4636"/>
    <w:rsid w:val="000C5216"/>
    <w:rsid w:val="000C7756"/>
    <w:rsid w:val="000C7A78"/>
    <w:rsid w:val="000E0D2B"/>
    <w:rsid w:val="000E53DC"/>
    <w:rsid w:val="000E632C"/>
    <w:rsid w:val="000F5DF5"/>
    <w:rsid w:val="00100CA8"/>
    <w:rsid w:val="001122EF"/>
    <w:rsid w:val="00127FB3"/>
    <w:rsid w:val="001353E9"/>
    <w:rsid w:val="0015797A"/>
    <w:rsid w:val="00163118"/>
    <w:rsid w:val="00165588"/>
    <w:rsid w:val="00167EA8"/>
    <w:rsid w:val="00174412"/>
    <w:rsid w:val="001835DA"/>
    <w:rsid w:val="00190088"/>
    <w:rsid w:val="00192A5D"/>
    <w:rsid w:val="001933C1"/>
    <w:rsid w:val="0019387C"/>
    <w:rsid w:val="001A4CED"/>
    <w:rsid w:val="001B1B3C"/>
    <w:rsid w:val="001B38ED"/>
    <w:rsid w:val="001C1E2B"/>
    <w:rsid w:val="001D7F6E"/>
    <w:rsid w:val="001E28A9"/>
    <w:rsid w:val="001E2A17"/>
    <w:rsid w:val="001E4DAB"/>
    <w:rsid w:val="001F0DF1"/>
    <w:rsid w:val="001F10B7"/>
    <w:rsid w:val="001F30BC"/>
    <w:rsid w:val="001F4425"/>
    <w:rsid w:val="002001FD"/>
    <w:rsid w:val="002025A7"/>
    <w:rsid w:val="0020660C"/>
    <w:rsid w:val="002077E8"/>
    <w:rsid w:val="00211B28"/>
    <w:rsid w:val="00213FC5"/>
    <w:rsid w:val="0021506E"/>
    <w:rsid w:val="00216712"/>
    <w:rsid w:val="00222120"/>
    <w:rsid w:val="00226DBE"/>
    <w:rsid w:val="00231C95"/>
    <w:rsid w:val="00243730"/>
    <w:rsid w:val="002523B5"/>
    <w:rsid w:val="00253232"/>
    <w:rsid w:val="00254010"/>
    <w:rsid w:val="00260731"/>
    <w:rsid w:val="00260D23"/>
    <w:rsid w:val="00261275"/>
    <w:rsid w:val="002741D1"/>
    <w:rsid w:val="00290D19"/>
    <w:rsid w:val="002A0CCB"/>
    <w:rsid w:val="002A1865"/>
    <w:rsid w:val="002A3DFF"/>
    <w:rsid w:val="002A4D22"/>
    <w:rsid w:val="002B5BD9"/>
    <w:rsid w:val="002B7F2D"/>
    <w:rsid w:val="002C2A8F"/>
    <w:rsid w:val="002C3B1C"/>
    <w:rsid w:val="002E0E5A"/>
    <w:rsid w:val="002E3A33"/>
    <w:rsid w:val="002F27E8"/>
    <w:rsid w:val="002F5234"/>
    <w:rsid w:val="002F5B25"/>
    <w:rsid w:val="00302AE8"/>
    <w:rsid w:val="003039BB"/>
    <w:rsid w:val="00304EFD"/>
    <w:rsid w:val="00307534"/>
    <w:rsid w:val="0031284F"/>
    <w:rsid w:val="00322554"/>
    <w:rsid w:val="003267E5"/>
    <w:rsid w:val="003426A0"/>
    <w:rsid w:val="00353DAB"/>
    <w:rsid w:val="0035748A"/>
    <w:rsid w:val="0036362C"/>
    <w:rsid w:val="003704D6"/>
    <w:rsid w:val="003708FC"/>
    <w:rsid w:val="003735A0"/>
    <w:rsid w:val="00385F34"/>
    <w:rsid w:val="00387D43"/>
    <w:rsid w:val="00387DC0"/>
    <w:rsid w:val="00390475"/>
    <w:rsid w:val="003A11A1"/>
    <w:rsid w:val="003B4921"/>
    <w:rsid w:val="003B4E88"/>
    <w:rsid w:val="003B6CC0"/>
    <w:rsid w:val="003D3B46"/>
    <w:rsid w:val="003D5A14"/>
    <w:rsid w:val="003E1777"/>
    <w:rsid w:val="003E2B13"/>
    <w:rsid w:val="003F2611"/>
    <w:rsid w:val="003F4944"/>
    <w:rsid w:val="003F4BC8"/>
    <w:rsid w:val="003F751C"/>
    <w:rsid w:val="003F7C52"/>
    <w:rsid w:val="00415B5F"/>
    <w:rsid w:val="004242B9"/>
    <w:rsid w:val="00426259"/>
    <w:rsid w:val="00431B1E"/>
    <w:rsid w:val="00434239"/>
    <w:rsid w:val="00444549"/>
    <w:rsid w:val="004471DE"/>
    <w:rsid w:val="00454E84"/>
    <w:rsid w:val="0045560E"/>
    <w:rsid w:val="00456ADB"/>
    <w:rsid w:val="00473CE7"/>
    <w:rsid w:val="004803CD"/>
    <w:rsid w:val="004827E5"/>
    <w:rsid w:val="00487B42"/>
    <w:rsid w:val="00497C45"/>
    <w:rsid w:val="004A2877"/>
    <w:rsid w:val="004B057F"/>
    <w:rsid w:val="004C163B"/>
    <w:rsid w:val="004C2BD2"/>
    <w:rsid w:val="004C34AE"/>
    <w:rsid w:val="004C41DE"/>
    <w:rsid w:val="004C49AD"/>
    <w:rsid w:val="004C6525"/>
    <w:rsid w:val="004D3DCB"/>
    <w:rsid w:val="004E2D1D"/>
    <w:rsid w:val="004E5EDA"/>
    <w:rsid w:val="004F19E6"/>
    <w:rsid w:val="004F3CFA"/>
    <w:rsid w:val="004F68E4"/>
    <w:rsid w:val="00504C66"/>
    <w:rsid w:val="005061A2"/>
    <w:rsid w:val="00510A11"/>
    <w:rsid w:val="00510A2C"/>
    <w:rsid w:val="00515ACB"/>
    <w:rsid w:val="0052775B"/>
    <w:rsid w:val="00531192"/>
    <w:rsid w:val="005347E1"/>
    <w:rsid w:val="00537F45"/>
    <w:rsid w:val="0054417A"/>
    <w:rsid w:val="005460F2"/>
    <w:rsid w:val="005518D3"/>
    <w:rsid w:val="00553E67"/>
    <w:rsid w:val="0055583B"/>
    <w:rsid w:val="00560FBA"/>
    <w:rsid w:val="00562D7A"/>
    <w:rsid w:val="00564661"/>
    <w:rsid w:val="0057399C"/>
    <w:rsid w:val="00574CE3"/>
    <w:rsid w:val="00581409"/>
    <w:rsid w:val="00581A67"/>
    <w:rsid w:val="00591D49"/>
    <w:rsid w:val="0059641E"/>
    <w:rsid w:val="005A39F3"/>
    <w:rsid w:val="005B0CCD"/>
    <w:rsid w:val="005B4EF3"/>
    <w:rsid w:val="005C63CE"/>
    <w:rsid w:val="005D6179"/>
    <w:rsid w:val="005F0807"/>
    <w:rsid w:val="005F08D0"/>
    <w:rsid w:val="005F0A91"/>
    <w:rsid w:val="005F6CD8"/>
    <w:rsid w:val="00617D1E"/>
    <w:rsid w:val="0062500F"/>
    <w:rsid w:val="00650682"/>
    <w:rsid w:val="00655D03"/>
    <w:rsid w:val="00662ABB"/>
    <w:rsid w:val="00662CF1"/>
    <w:rsid w:val="00670C1A"/>
    <w:rsid w:val="006976C4"/>
    <w:rsid w:val="006B25B0"/>
    <w:rsid w:val="006B4507"/>
    <w:rsid w:val="006B4F3C"/>
    <w:rsid w:val="006B67FC"/>
    <w:rsid w:val="006B7C43"/>
    <w:rsid w:val="006B7CE3"/>
    <w:rsid w:val="006C00DF"/>
    <w:rsid w:val="006C0F0A"/>
    <w:rsid w:val="006C1CA2"/>
    <w:rsid w:val="006C2EB7"/>
    <w:rsid w:val="006E2E3E"/>
    <w:rsid w:val="006E32EA"/>
    <w:rsid w:val="006E60D8"/>
    <w:rsid w:val="006F0072"/>
    <w:rsid w:val="00705AC8"/>
    <w:rsid w:val="0071486E"/>
    <w:rsid w:val="00730FDC"/>
    <w:rsid w:val="007314EE"/>
    <w:rsid w:val="007A15A7"/>
    <w:rsid w:val="007B6008"/>
    <w:rsid w:val="007B7F1F"/>
    <w:rsid w:val="007C643B"/>
    <w:rsid w:val="007C7BA0"/>
    <w:rsid w:val="00803311"/>
    <w:rsid w:val="008075F3"/>
    <w:rsid w:val="00810B11"/>
    <w:rsid w:val="00814F93"/>
    <w:rsid w:val="008213A7"/>
    <w:rsid w:val="00824043"/>
    <w:rsid w:val="00827664"/>
    <w:rsid w:val="00835BBB"/>
    <w:rsid w:val="008476F6"/>
    <w:rsid w:val="00850D13"/>
    <w:rsid w:val="00867627"/>
    <w:rsid w:val="008740EE"/>
    <w:rsid w:val="00875D19"/>
    <w:rsid w:val="0087650E"/>
    <w:rsid w:val="00886FF2"/>
    <w:rsid w:val="00894E55"/>
    <w:rsid w:val="00896180"/>
    <w:rsid w:val="008A09F9"/>
    <w:rsid w:val="008A44F7"/>
    <w:rsid w:val="008A5C28"/>
    <w:rsid w:val="008A6431"/>
    <w:rsid w:val="008A6EC5"/>
    <w:rsid w:val="008B10DA"/>
    <w:rsid w:val="008B3E2F"/>
    <w:rsid w:val="008B4455"/>
    <w:rsid w:val="008B6BB1"/>
    <w:rsid w:val="008C6ADB"/>
    <w:rsid w:val="008C7EC5"/>
    <w:rsid w:val="008D2F46"/>
    <w:rsid w:val="008D2F61"/>
    <w:rsid w:val="008E12AB"/>
    <w:rsid w:val="008E1934"/>
    <w:rsid w:val="008E30E7"/>
    <w:rsid w:val="008F425A"/>
    <w:rsid w:val="00902F98"/>
    <w:rsid w:val="00907B6C"/>
    <w:rsid w:val="00911B66"/>
    <w:rsid w:val="00917E51"/>
    <w:rsid w:val="00921EFD"/>
    <w:rsid w:val="00933A13"/>
    <w:rsid w:val="0093490E"/>
    <w:rsid w:val="0094211F"/>
    <w:rsid w:val="00945B45"/>
    <w:rsid w:val="00947078"/>
    <w:rsid w:val="00954319"/>
    <w:rsid w:val="0096231A"/>
    <w:rsid w:val="009624D9"/>
    <w:rsid w:val="0096378A"/>
    <w:rsid w:val="00966EFD"/>
    <w:rsid w:val="009704F0"/>
    <w:rsid w:val="00971FE2"/>
    <w:rsid w:val="00984BA7"/>
    <w:rsid w:val="00985A9D"/>
    <w:rsid w:val="009865F8"/>
    <w:rsid w:val="00992572"/>
    <w:rsid w:val="00996110"/>
    <w:rsid w:val="009A1B01"/>
    <w:rsid w:val="009A5720"/>
    <w:rsid w:val="009C5A33"/>
    <w:rsid w:val="009D01BB"/>
    <w:rsid w:val="009D75B0"/>
    <w:rsid w:val="009E2FDA"/>
    <w:rsid w:val="009E4D93"/>
    <w:rsid w:val="00A026CF"/>
    <w:rsid w:val="00A05FF5"/>
    <w:rsid w:val="00A161FB"/>
    <w:rsid w:val="00A3040F"/>
    <w:rsid w:val="00A404D9"/>
    <w:rsid w:val="00A42738"/>
    <w:rsid w:val="00A43280"/>
    <w:rsid w:val="00A4371B"/>
    <w:rsid w:val="00A4639B"/>
    <w:rsid w:val="00A576A9"/>
    <w:rsid w:val="00A617AD"/>
    <w:rsid w:val="00A737B5"/>
    <w:rsid w:val="00A74BA8"/>
    <w:rsid w:val="00A9087B"/>
    <w:rsid w:val="00A93935"/>
    <w:rsid w:val="00A959E9"/>
    <w:rsid w:val="00AA7C44"/>
    <w:rsid w:val="00AB01BF"/>
    <w:rsid w:val="00AB06A9"/>
    <w:rsid w:val="00AC065E"/>
    <w:rsid w:val="00AC0B3C"/>
    <w:rsid w:val="00AD355D"/>
    <w:rsid w:val="00AE028E"/>
    <w:rsid w:val="00AE280D"/>
    <w:rsid w:val="00AE2C80"/>
    <w:rsid w:val="00B00D34"/>
    <w:rsid w:val="00B037E7"/>
    <w:rsid w:val="00B05712"/>
    <w:rsid w:val="00B10D0F"/>
    <w:rsid w:val="00B174E4"/>
    <w:rsid w:val="00B27AD5"/>
    <w:rsid w:val="00B308A0"/>
    <w:rsid w:val="00B4276D"/>
    <w:rsid w:val="00B42F44"/>
    <w:rsid w:val="00B43CE1"/>
    <w:rsid w:val="00B51C88"/>
    <w:rsid w:val="00B545EB"/>
    <w:rsid w:val="00B551FF"/>
    <w:rsid w:val="00B55F67"/>
    <w:rsid w:val="00B61548"/>
    <w:rsid w:val="00B66DF5"/>
    <w:rsid w:val="00B706E1"/>
    <w:rsid w:val="00B70FD6"/>
    <w:rsid w:val="00B71D96"/>
    <w:rsid w:val="00B75D16"/>
    <w:rsid w:val="00B92F16"/>
    <w:rsid w:val="00B94BFB"/>
    <w:rsid w:val="00B97A6C"/>
    <w:rsid w:val="00BB4152"/>
    <w:rsid w:val="00BC1D7A"/>
    <w:rsid w:val="00BC1F0D"/>
    <w:rsid w:val="00BD16C4"/>
    <w:rsid w:val="00BD609A"/>
    <w:rsid w:val="00BE0BB8"/>
    <w:rsid w:val="00BE0EDF"/>
    <w:rsid w:val="00BE2139"/>
    <w:rsid w:val="00BE561F"/>
    <w:rsid w:val="00BE774B"/>
    <w:rsid w:val="00C0139A"/>
    <w:rsid w:val="00C021A4"/>
    <w:rsid w:val="00C11FEF"/>
    <w:rsid w:val="00C146E2"/>
    <w:rsid w:val="00C20167"/>
    <w:rsid w:val="00C202C7"/>
    <w:rsid w:val="00C217A5"/>
    <w:rsid w:val="00C219E6"/>
    <w:rsid w:val="00C25FDC"/>
    <w:rsid w:val="00C27D5E"/>
    <w:rsid w:val="00C50F17"/>
    <w:rsid w:val="00C52285"/>
    <w:rsid w:val="00C544A0"/>
    <w:rsid w:val="00C54C32"/>
    <w:rsid w:val="00C5630E"/>
    <w:rsid w:val="00C62D44"/>
    <w:rsid w:val="00C65499"/>
    <w:rsid w:val="00C84A75"/>
    <w:rsid w:val="00C87492"/>
    <w:rsid w:val="00C91AA5"/>
    <w:rsid w:val="00CA337B"/>
    <w:rsid w:val="00CB7D29"/>
    <w:rsid w:val="00CC2AF6"/>
    <w:rsid w:val="00CC4547"/>
    <w:rsid w:val="00CD2A61"/>
    <w:rsid w:val="00CD54B1"/>
    <w:rsid w:val="00CD7EDD"/>
    <w:rsid w:val="00CE12E1"/>
    <w:rsid w:val="00CE2278"/>
    <w:rsid w:val="00CE3C67"/>
    <w:rsid w:val="00CF037C"/>
    <w:rsid w:val="00CF0EC6"/>
    <w:rsid w:val="00CF2B19"/>
    <w:rsid w:val="00D06261"/>
    <w:rsid w:val="00D22A21"/>
    <w:rsid w:val="00D24B12"/>
    <w:rsid w:val="00D2568B"/>
    <w:rsid w:val="00D270C5"/>
    <w:rsid w:val="00D36C44"/>
    <w:rsid w:val="00D37DCB"/>
    <w:rsid w:val="00D41050"/>
    <w:rsid w:val="00D50312"/>
    <w:rsid w:val="00D713DE"/>
    <w:rsid w:val="00D73F96"/>
    <w:rsid w:val="00D778BC"/>
    <w:rsid w:val="00D807C7"/>
    <w:rsid w:val="00D842F1"/>
    <w:rsid w:val="00D869A1"/>
    <w:rsid w:val="00D9032B"/>
    <w:rsid w:val="00D9046B"/>
    <w:rsid w:val="00D90FDE"/>
    <w:rsid w:val="00DA16A8"/>
    <w:rsid w:val="00DA3AB3"/>
    <w:rsid w:val="00DA6372"/>
    <w:rsid w:val="00DB01C9"/>
    <w:rsid w:val="00DB0C66"/>
    <w:rsid w:val="00DB3C30"/>
    <w:rsid w:val="00DB4B3A"/>
    <w:rsid w:val="00DC2BA4"/>
    <w:rsid w:val="00DC447A"/>
    <w:rsid w:val="00DC671F"/>
    <w:rsid w:val="00DD3C80"/>
    <w:rsid w:val="00DE16EF"/>
    <w:rsid w:val="00DF3D1E"/>
    <w:rsid w:val="00E0180C"/>
    <w:rsid w:val="00E102F7"/>
    <w:rsid w:val="00E15273"/>
    <w:rsid w:val="00E21A1D"/>
    <w:rsid w:val="00E230AE"/>
    <w:rsid w:val="00E23531"/>
    <w:rsid w:val="00E2524B"/>
    <w:rsid w:val="00E257D3"/>
    <w:rsid w:val="00E4406B"/>
    <w:rsid w:val="00E566B7"/>
    <w:rsid w:val="00E61CE6"/>
    <w:rsid w:val="00E64B3E"/>
    <w:rsid w:val="00E6722A"/>
    <w:rsid w:val="00E71712"/>
    <w:rsid w:val="00E73416"/>
    <w:rsid w:val="00E77DAE"/>
    <w:rsid w:val="00EA06C4"/>
    <w:rsid w:val="00EA4C32"/>
    <w:rsid w:val="00EB548D"/>
    <w:rsid w:val="00EC0524"/>
    <w:rsid w:val="00EC3A63"/>
    <w:rsid w:val="00EC4FC3"/>
    <w:rsid w:val="00ED73B6"/>
    <w:rsid w:val="00ED75C1"/>
    <w:rsid w:val="00EF58E2"/>
    <w:rsid w:val="00EF5EF1"/>
    <w:rsid w:val="00F01700"/>
    <w:rsid w:val="00F02D32"/>
    <w:rsid w:val="00F12B60"/>
    <w:rsid w:val="00F1346D"/>
    <w:rsid w:val="00F1347E"/>
    <w:rsid w:val="00F14AAF"/>
    <w:rsid w:val="00F21947"/>
    <w:rsid w:val="00F27DD3"/>
    <w:rsid w:val="00F411F1"/>
    <w:rsid w:val="00F41AD2"/>
    <w:rsid w:val="00F42B7A"/>
    <w:rsid w:val="00F52E75"/>
    <w:rsid w:val="00F53AD6"/>
    <w:rsid w:val="00F559B5"/>
    <w:rsid w:val="00F565E7"/>
    <w:rsid w:val="00F664C5"/>
    <w:rsid w:val="00F76973"/>
    <w:rsid w:val="00F769B9"/>
    <w:rsid w:val="00F80713"/>
    <w:rsid w:val="00F84333"/>
    <w:rsid w:val="00F86B41"/>
    <w:rsid w:val="00F86B99"/>
    <w:rsid w:val="00F90F5E"/>
    <w:rsid w:val="00F95AB6"/>
    <w:rsid w:val="00F96306"/>
    <w:rsid w:val="00FA301B"/>
    <w:rsid w:val="00FB2C31"/>
    <w:rsid w:val="00FC34BB"/>
    <w:rsid w:val="00FC6681"/>
    <w:rsid w:val="00FD4FD8"/>
    <w:rsid w:val="00FE1199"/>
    <w:rsid w:val="00FE202C"/>
    <w:rsid w:val="00FF760F"/>
    <w:rsid w:val="09813F72"/>
    <w:rsid w:val="29553217"/>
    <w:rsid w:val="42062B93"/>
    <w:rsid w:val="6A81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9"/>
    <w:rPr>
      <w:b/>
      <w:bCs/>
      <w:kern w:val="44"/>
      <w:sz w:val="44"/>
      <w:szCs w:val="44"/>
    </w:rPr>
  </w:style>
  <w:style w:type="character" w:customStyle="1" w:styleId="18">
    <w:name w:val="标题 2 字符"/>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BDE6F-4C96-405F-9608-CA6D937C98A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698</Words>
  <Characters>3981</Characters>
  <Lines>33</Lines>
  <Paragraphs>9</Paragraphs>
  <TotalTime>4101</TotalTime>
  <ScaleCrop>false</ScaleCrop>
  <LinksUpToDate>false</LinksUpToDate>
  <CharactersWithSpaces>4670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2020-07-17T03:29:00Z</dcterms:created>
  <dc:creator>dimin</dc:creator>
  <cp:lastModifiedBy>A.Ray</cp:lastModifiedBy>
  <dcterms:modified xsi:type="dcterms:W3CDTF">2020-11-09T13:22:18Z</dcterms:modified>
  <cp:revision>1039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