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Cs w:val="21"/>
        </w:rPr>
      </w:pPr>
      <w:r>
        <w:rPr>
          <w:rFonts w:hint="eastAsia" w:ascii="黑体" w:hAnsi="黑体" w:eastAsia="黑体"/>
          <w:szCs w:val="21"/>
        </w:rPr>
        <w:t>I</w:t>
      </w:r>
      <w:r>
        <w:rPr>
          <w:rFonts w:ascii="黑体" w:hAnsi="黑体" w:eastAsia="黑体"/>
          <w:szCs w:val="21"/>
        </w:rPr>
        <w:t>CS</w:t>
      </w:r>
      <w:r>
        <w:rPr>
          <w:rFonts w:hint="eastAsia" w:ascii="黑体" w:hAnsi="黑体" w:eastAsia="黑体"/>
          <w:szCs w:val="21"/>
        </w:rPr>
        <w:t>号</w:t>
      </w:r>
    </w:p>
    <w:p>
      <w:pPr>
        <w:jc w:val="left"/>
        <w:rPr>
          <w:rFonts w:ascii="黑体" w:hAnsi="黑体" w:eastAsia="黑体"/>
          <w:szCs w:val="21"/>
        </w:rPr>
      </w:pPr>
      <w:r>
        <w:rPr>
          <w:rFonts w:hint="eastAsia" w:ascii="黑体" w:hAnsi="黑体" w:eastAsia="黑体"/>
          <w:szCs w:val="21"/>
        </w:rPr>
        <w:t>中国标准文献分类号</w:t>
      </w:r>
    </w:p>
    <w:p>
      <w:pPr>
        <w:jc w:val="left"/>
        <w:rPr>
          <w:rFonts w:ascii="宋体" w:hAnsi="宋体" w:eastAsia="宋体"/>
          <w:sz w:val="24"/>
          <w:szCs w:val="24"/>
        </w:rPr>
      </w:pPr>
    </w:p>
    <w:p>
      <w:pPr>
        <w:jc w:val="left"/>
        <w:rPr>
          <w:rFonts w:ascii="宋体" w:hAnsi="宋体" w:eastAsia="宋体"/>
          <w:sz w:val="24"/>
          <w:szCs w:val="24"/>
        </w:rPr>
      </w:pPr>
    </w:p>
    <w:p>
      <w:pPr>
        <w:jc w:val="center"/>
        <w:rPr>
          <w:rFonts w:ascii="黑体" w:hAnsi="黑体" w:eastAsia="黑体"/>
          <w:sz w:val="44"/>
          <w:szCs w:val="44"/>
        </w:rPr>
      </w:pPr>
      <w:r>
        <w:rPr>
          <w:rFonts w:hint="eastAsia" w:ascii="黑体" w:hAnsi="黑体" w:eastAsia="黑体"/>
          <w:sz w:val="44"/>
          <w:szCs w:val="44"/>
        </w:rPr>
        <w:t>广州市国资国企创新战略联盟团体标准</w:t>
      </w:r>
    </w:p>
    <w:p>
      <w:pPr>
        <w:jc w:val="left"/>
        <w:rPr>
          <w:rFonts w:ascii="宋体" w:hAnsi="宋体" w:eastAsia="宋体"/>
          <w:sz w:val="24"/>
          <w:szCs w:val="24"/>
        </w:rPr>
      </w:pPr>
    </w:p>
    <w:p>
      <w:pPr>
        <w:jc w:val="right"/>
        <w:rPr>
          <w:rFonts w:ascii="宋体" w:hAnsi="宋体" w:eastAsia="宋体"/>
          <w:sz w:val="24"/>
          <w:szCs w:val="24"/>
        </w:rPr>
      </w:pPr>
      <w:r>
        <w:rPr>
          <w:rFonts w:hint="eastAsia" w:ascii="宋体" w:hAnsi="宋体" w:eastAsia="宋体"/>
          <w:sz w:val="24"/>
          <w:szCs w:val="24"/>
        </w:rPr>
        <w:t>T/</w:t>
      </w:r>
      <w:r>
        <w:rPr>
          <w:rFonts w:ascii="宋体" w:hAnsi="宋体" w:eastAsia="宋体"/>
          <w:sz w:val="24"/>
          <w:szCs w:val="24"/>
        </w:rPr>
        <w:t>GZCXLM 001</w:t>
      </w:r>
      <w:r>
        <w:rPr>
          <w:rFonts w:hint="eastAsia" w:ascii="宋体" w:hAnsi="宋体" w:eastAsia="宋体"/>
          <w:sz w:val="24"/>
          <w:szCs w:val="24"/>
        </w:rPr>
        <w:t>.</w:t>
      </w:r>
      <w:r>
        <w:rPr>
          <w:rFonts w:ascii="宋体" w:hAnsi="宋体" w:eastAsia="宋体"/>
          <w:sz w:val="24"/>
          <w:szCs w:val="24"/>
        </w:rPr>
        <w:t>1-2020</w:t>
      </w:r>
    </w:p>
    <w:p>
      <w:pPr>
        <w:jc w:val="left"/>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120650</wp:posOffset>
                </wp:positionV>
                <wp:extent cx="59436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9.5pt;height:0pt;width:468pt;mso-position-horizontal-relative:margin;z-index:251659264;mso-width-relative:page;mso-height-relative:page;" filled="f" stroked="t" coordsize="21600,21600" o:gfxdata="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h8aA1AAAAAcBAAAP&#10;AAAAAAAAAAEAIAAAACIAAABkcnMvZG93bnJldi54bWxQSwECFAAUAAAACACHTuJAkLdaA+MBAACy&#10;AwAADgAAAAAAAAABACAAAAAjAQAAZHJzL2Uyb0RvYy54bWxQSwUGAAAAAAYABgBZAQAAeAUAAAAA&#10;">
                <v:fill on="f" focussize="0,0"/>
                <v:stroke weight="1.25pt" color="#000000 [3213]" miterlimit="8" joinstyle="miter"/>
                <v:imagedata o:title=""/>
                <o:lock v:ext="edit" aspectratio="f"/>
              </v:line>
            </w:pict>
          </mc:Fallback>
        </mc:AlternateContent>
      </w: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center"/>
        <w:rPr>
          <w:rFonts w:ascii="宋体" w:hAnsi="宋体" w:eastAsia="宋体"/>
          <w:sz w:val="52"/>
          <w:szCs w:val="52"/>
        </w:rPr>
      </w:pPr>
      <w:r>
        <w:rPr>
          <w:rFonts w:hint="eastAsia" w:ascii="宋体" w:hAnsi="宋体" w:eastAsia="宋体"/>
          <w:sz w:val="52"/>
          <w:szCs w:val="52"/>
        </w:rPr>
        <w:t>广州品牌评价</w:t>
      </w:r>
    </w:p>
    <w:p>
      <w:pPr>
        <w:jc w:val="center"/>
        <w:rPr>
          <w:rFonts w:ascii="宋体" w:hAnsi="宋体" w:eastAsia="宋体"/>
          <w:sz w:val="52"/>
          <w:szCs w:val="52"/>
        </w:rPr>
      </w:pPr>
      <w:r>
        <w:rPr>
          <w:rFonts w:hint="eastAsia" w:ascii="宋体" w:hAnsi="宋体" w:eastAsia="宋体"/>
          <w:sz w:val="52"/>
          <w:szCs w:val="52"/>
        </w:rPr>
        <w:t>第1部分：基本要求</w:t>
      </w: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snapToGrid w:val="0"/>
        <w:jc w:val="center"/>
        <w:rPr>
          <w:rFonts w:ascii="黑体" w:hAnsi="黑体" w:eastAsia="黑体"/>
          <w:sz w:val="28"/>
          <w:szCs w:val="28"/>
        </w:rPr>
      </w:pPr>
      <w:r>
        <w:rPr>
          <w:rFonts w:ascii="黑体" w:hAnsi="黑体" w:eastAsia="黑体"/>
          <w:sz w:val="28"/>
          <w:szCs w:val="28"/>
        </w:rPr>
        <w:t xml:space="preserve">                            </w:t>
      </w:r>
      <w:bookmarkStart w:id="16" w:name="_GoBack"/>
      <w:bookmarkEnd w:id="16"/>
    </w:p>
    <w:p>
      <w:pPr>
        <w:snapToGrid w:val="0"/>
        <w:jc w:val="left"/>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60288" behindDoc="0" locked="0" layoutInCell="1" allowOverlap="1">
                <wp:simplePos x="0" y="0"/>
                <wp:positionH relativeFrom="margin">
                  <wp:posOffset>25400</wp:posOffset>
                </wp:positionH>
                <wp:positionV relativeFrom="paragraph">
                  <wp:posOffset>88265</wp:posOffset>
                </wp:positionV>
                <wp:extent cx="5915025"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91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pt;margin-top:6.95pt;height:0pt;width:465.75pt;mso-position-horizontal-relative:margin;z-index:251660288;mso-width-relative:page;mso-height-relative:page;" filled="f" stroked="t" coordsize="21600,21600" o:gfxdata="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Mbfp&#10;1QAAAAcBAAAPAAAAAAAAAAEAIAAAACIAAABkcnMvZG93bnJldi54bWxQSwECFAAUAAAACACHTuJA&#10;a79rb+sBAAC7AwAADgAAAAAAAAABACAAAAAkAQAAZHJzL2Uyb0RvYy54bWxQSwUGAAAAAAYABgBZ&#10;AQAAgQUAAAAA&#10;">
                <v:fill on="f" focussize="0,0"/>
                <v:stroke weight="0.5pt" color="#000000 [3213]" miterlimit="8" joinstyle="miter"/>
                <v:imagedata o:title=""/>
                <o:lock v:ext="edit" aspectratio="f"/>
              </v:line>
            </w:pict>
          </mc:Fallback>
        </mc:AlternateContent>
      </w:r>
    </w:p>
    <w:p>
      <w:pPr>
        <w:jc w:val="center"/>
        <w:rPr>
          <w:rFonts w:hint="eastAsia" w:ascii="黑体" w:hAnsi="黑体" w:eastAsia="黑体"/>
          <w:sz w:val="32"/>
          <w:szCs w:val="32"/>
        </w:rPr>
      </w:pPr>
    </w:p>
    <w:p>
      <w:pPr>
        <w:jc w:val="center"/>
        <w:rPr>
          <w:rFonts w:hint="eastAsia" w:ascii="黑体" w:hAnsi="黑体" w:eastAsia="黑体"/>
          <w:sz w:val="32"/>
          <w:szCs w:val="32"/>
          <w:lang w:val="en-US" w:eastAsia="zh-CN"/>
        </w:rPr>
      </w:pPr>
      <w:r>
        <w:rPr>
          <w:rFonts w:hint="eastAsia" w:ascii="黑体" w:hAnsi="黑体" w:eastAsia="黑体"/>
          <w:sz w:val="32"/>
          <w:szCs w:val="32"/>
        </w:rPr>
        <w:t xml:space="preserve">目 </w:t>
      </w:r>
      <w:r>
        <w:rPr>
          <w:rFonts w:hint="eastAsia" w:ascii="黑体" w:hAnsi="黑体" w:eastAsia="黑体"/>
          <w:sz w:val="32"/>
          <w:szCs w:val="32"/>
          <w:lang w:eastAsia="zh-CN"/>
        </w:rPr>
        <w:t>录</w:t>
      </w:r>
    </w:p>
    <w:p>
      <w:pPr>
        <w:rPr>
          <w:rFonts w:ascii="宋体" w:hAnsi="宋体" w:eastAsia="宋体"/>
          <w:szCs w:val="21"/>
        </w:rPr>
      </w:pPr>
    </w:p>
    <w:p>
      <w:pPr>
        <w:pStyle w:val="10"/>
        <w:tabs>
          <w:tab w:val="right" w:leader="dot" w:pos="9344"/>
        </w:tabs>
        <w:spacing w:line="360" w:lineRule="auto"/>
      </w:pPr>
      <w:r>
        <w:rPr>
          <w:rFonts w:ascii="宋体" w:hAnsi="宋体" w:eastAsia="宋体"/>
          <w:szCs w:val="21"/>
        </w:rPr>
        <w:fldChar w:fldCharType="begin"/>
      </w:r>
      <w:r>
        <w:rPr>
          <w:rFonts w:ascii="宋体" w:hAnsi="宋体" w:eastAsia="宋体"/>
          <w:szCs w:val="21"/>
        </w:rPr>
        <w:instrText xml:space="preserve"> TOC \o "1-3" \h \z \u </w:instrText>
      </w:r>
      <w:r>
        <w:rPr>
          <w:rFonts w:ascii="宋体" w:hAnsi="宋体" w:eastAsia="宋体"/>
          <w:szCs w:val="21"/>
        </w:rPr>
        <w:fldChar w:fldCharType="separate"/>
      </w:r>
      <w:r>
        <w:fldChar w:fldCharType="begin"/>
      </w:r>
      <w:r>
        <w:instrText xml:space="preserve"> HYPERLINK \l "_Toc49193520" </w:instrText>
      </w:r>
      <w:r>
        <w:fldChar w:fldCharType="separate"/>
      </w:r>
      <w:r>
        <w:rPr>
          <w:rStyle w:val="16"/>
          <w:rFonts w:ascii="黑体" w:hAnsi="黑体" w:eastAsia="黑体"/>
        </w:rPr>
        <w:t>前言</w:t>
      </w:r>
      <w:r>
        <w:tab/>
      </w:r>
      <w:r>
        <w:fldChar w:fldCharType="begin"/>
      </w:r>
      <w:r>
        <w:instrText xml:space="preserve"> PAGEREF _Toc49193520 \h </w:instrText>
      </w:r>
      <w:r>
        <w:fldChar w:fldCharType="separate"/>
      </w:r>
      <w:r>
        <w:t>II</w:t>
      </w:r>
      <w:r>
        <w:fldChar w:fldCharType="end"/>
      </w:r>
      <w:r>
        <w:fldChar w:fldCharType="end"/>
      </w:r>
    </w:p>
    <w:p>
      <w:pPr>
        <w:pStyle w:val="10"/>
        <w:tabs>
          <w:tab w:val="right" w:leader="dot" w:pos="9344"/>
        </w:tabs>
        <w:spacing w:line="360" w:lineRule="auto"/>
      </w:pPr>
      <w:r>
        <w:fldChar w:fldCharType="begin"/>
      </w:r>
      <w:r>
        <w:instrText xml:space="preserve"> HYPERLINK \l "_Toc49193521" </w:instrText>
      </w:r>
      <w:r>
        <w:fldChar w:fldCharType="separate"/>
      </w:r>
      <w:r>
        <w:rPr>
          <w:rStyle w:val="16"/>
          <w:rFonts w:ascii="宋体" w:hAnsi="宋体" w:eastAsia="宋体"/>
        </w:rPr>
        <w:t>1 范围</w:t>
      </w:r>
      <w:r>
        <w:tab/>
      </w:r>
      <w:r>
        <w:rPr>
          <w:rFonts w:hint="eastAsia"/>
          <w:lang w:val="en-US" w:eastAsia="zh-CN"/>
        </w:rPr>
        <w:t>3</w:t>
      </w:r>
      <w:r>
        <w:fldChar w:fldCharType="end"/>
      </w:r>
    </w:p>
    <w:p>
      <w:pPr>
        <w:pStyle w:val="10"/>
        <w:tabs>
          <w:tab w:val="right" w:leader="dot" w:pos="9344"/>
        </w:tabs>
        <w:spacing w:line="360" w:lineRule="auto"/>
      </w:pPr>
      <w:r>
        <w:fldChar w:fldCharType="begin"/>
      </w:r>
      <w:r>
        <w:instrText xml:space="preserve"> HYPERLINK \l "_Toc49193522" </w:instrText>
      </w:r>
      <w:r>
        <w:fldChar w:fldCharType="separate"/>
      </w:r>
      <w:r>
        <w:rPr>
          <w:rStyle w:val="16"/>
          <w:rFonts w:ascii="宋体" w:hAnsi="宋体" w:eastAsia="宋体"/>
        </w:rPr>
        <w:t>2 规范性引用文件</w:t>
      </w:r>
      <w:r>
        <w:tab/>
      </w:r>
      <w:r>
        <w:rPr>
          <w:rFonts w:hint="eastAsia"/>
          <w:lang w:val="en-US" w:eastAsia="zh-CN"/>
        </w:rPr>
        <w:t>3</w:t>
      </w:r>
      <w:r>
        <w:fldChar w:fldCharType="end"/>
      </w:r>
    </w:p>
    <w:p>
      <w:pPr>
        <w:pStyle w:val="10"/>
        <w:tabs>
          <w:tab w:val="right" w:leader="dot" w:pos="9344"/>
        </w:tabs>
        <w:spacing w:line="360" w:lineRule="auto"/>
      </w:pPr>
      <w:r>
        <w:fldChar w:fldCharType="begin"/>
      </w:r>
      <w:r>
        <w:instrText xml:space="preserve"> HYPERLINK \l "_Toc49193523" </w:instrText>
      </w:r>
      <w:r>
        <w:fldChar w:fldCharType="separate"/>
      </w:r>
      <w:r>
        <w:rPr>
          <w:rStyle w:val="16"/>
          <w:rFonts w:ascii="宋体" w:hAnsi="宋体" w:eastAsia="宋体"/>
        </w:rPr>
        <w:t>3 术语和定义</w:t>
      </w:r>
      <w:r>
        <w:tab/>
      </w:r>
      <w:r>
        <w:rPr>
          <w:rFonts w:hint="eastAsia"/>
          <w:lang w:val="en-US" w:eastAsia="zh-CN"/>
        </w:rPr>
        <w:t>3</w:t>
      </w:r>
      <w:r>
        <w:fldChar w:fldCharType="end"/>
      </w:r>
    </w:p>
    <w:p>
      <w:pPr>
        <w:pStyle w:val="10"/>
        <w:tabs>
          <w:tab w:val="right" w:leader="dot" w:pos="9344"/>
        </w:tabs>
        <w:spacing w:line="360" w:lineRule="auto"/>
      </w:pPr>
      <w:r>
        <w:fldChar w:fldCharType="begin"/>
      </w:r>
      <w:r>
        <w:instrText xml:space="preserve"> HYPERLINK \l "_Toc49193524" </w:instrText>
      </w:r>
      <w:r>
        <w:fldChar w:fldCharType="separate"/>
      </w:r>
      <w:r>
        <w:rPr>
          <w:rStyle w:val="16"/>
          <w:rFonts w:ascii="宋体" w:hAnsi="宋体" w:eastAsia="宋体"/>
        </w:rPr>
        <w:t>4 评价组织</w:t>
      </w:r>
      <w:r>
        <w:tab/>
      </w:r>
      <w:r>
        <w:rPr>
          <w:rFonts w:hint="eastAsia"/>
          <w:lang w:val="en-US" w:eastAsia="zh-CN"/>
        </w:rPr>
        <w:t>4</w:t>
      </w:r>
      <w:r>
        <w:fldChar w:fldCharType="end"/>
      </w:r>
    </w:p>
    <w:p>
      <w:pPr>
        <w:pStyle w:val="11"/>
        <w:tabs>
          <w:tab w:val="right" w:leader="dot" w:pos="9344"/>
        </w:tabs>
        <w:spacing w:line="360" w:lineRule="auto"/>
      </w:pPr>
      <w:r>
        <w:fldChar w:fldCharType="begin"/>
      </w:r>
      <w:r>
        <w:instrText xml:space="preserve"> HYPERLINK \l "_Toc49193525" </w:instrText>
      </w:r>
      <w:r>
        <w:fldChar w:fldCharType="separate"/>
      </w:r>
      <w:r>
        <w:rPr>
          <w:rStyle w:val="16"/>
          <w:rFonts w:ascii="宋体" w:hAnsi="宋体" w:eastAsia="宋体"/>
        </w:rPr>
        <w:t>4.1 总则</w:t>
      </w:r>
      <w:r>
        <w:tab/>
      </w:r>
      <w:r>
        <w:rPr>
          <w:rFonts w:hint="eastAsia"/>
          <w:lang w:val="en-US" w:eastAsia="zh-CN"/>
        </w:rPr>
        <w:t>4</w:t>
      </w:r>
      <w:r>
        <w:fldChar w:fldCharType="end"/>
      </w:r>
    </w:p>
    <w:p>
      <w:pPr>
        <w:pStyle w:val="11"/>
        <w:tabs>
          <w:tab w:val="right" w:leader="dot" w:pos="9344"/>
        </w:tabs>
        <w:spacing w:line="360" w:lineRule="auto"/>
      </w:pPr>
      <w:r>
        <w:fldChar w:fldCharType="begin"/>
      </w:r>
      <w:r>
        <w:instrText xml:space="preserve"> HYPERLINK \l "_Toc49193526" </w:instrText>
      </w:r>
      <w:r>
        <w:fldChar w:fldCharType="separate"/>
      </w:r>
      <w:r>
        <w:rPr>
          <w:rStyle w:val="16"/>
          <w:rFonts w:ascii="宋体" w:hAnsi="宋体" w:eastAsia="宋体"/>
        </w:rPr>
        <w:t>4.2 评价工作委员会</w:t>
      </w:r>
      <w:r>
        <w:tab/>
      </w:r>
      <w:r>
        <w:rPr>
          <w:rFonts w:hint="eastAsia"/>
          <w:lang w:val="en-US" w:eastAsia="zh-CN"/>
        </w:rPr>
        <w:t>4</w:t>
      </w:r>
      <w:r>
        <w:fldChar w:fldCharType="end"/>
      </w:r>
    </w:p>
    <w:p>
      <w:pPr>
        <w:pStyle w:val="11"/>
        <w:tabs>
          <w:tab w:val="right" w:leader="dot" w:pos="9344"/>
        </w:tabs>
        <w:spacing w:line="360" w:lineRule="auto"/>
      </w:pPr>
      <w:r>
        <w:fldChar w:fldCharType="begin"/>
      </w:r>
      <w:r>
        <w:instrText xml:space="preserve"> HYPERLINK \l "_Toc49193527" </w:instrText>
      </w:r>
      <w:r>
        <w:fldChar w:fldCharType="separate"/>
      </w:r>
      <w:r>
        <w:rPr>
          <w:rStyle w:val="16"/>
          <w:rFonts w:ascii="宋体" w:hAnsi="宋体" w:eastAsia="宋体"/>
        </w:rPr>
        <w:t>4.3 评价专家委员会</w:t>
      </w:r>
      <w:r>
        <w:tab/>
      </w:r>
      <w:r>
        <w:rPr>
          <w:rFonts w:hint="eastAsia"/>
          <w:lang w:val="en-US" w:eastAsia="zh-CN"/>
        </w:rPr>
        <w:t>4</w:t>
      </w:r>
      <w:r>
        <w:fldChar w:fldCharType="end"/>
      </w:r>
    </w:p>
    <w:p>
      <w:pPr>
        <w:pStyle w:val="11"/>
        <w:tabs>
          <w:tab w:val="right" w:leader="dot" w:pos="9344"/>
        </w:tabs>
        <w:spacing w:line="360" w:lineRule="auto"/>
      </w:pPr>
      <w:r>
        <w:fldChar w:fldCharType="begin"/>
      </w:r>
      <w:r>
        <w:instrText xml:space="preserve"> HYPERLINK \l "_Toc49193528" </w:instrText>
      </w:r>
      <w:r>
        <w:fldChar w:fldCharType="separate"/>
      </w:r>
      <w:r>
        <w:rPr>
          <w:rStyle w:val="16"/>
          <w:rFonts w:ascii="宋体" w:hAnsi="宋体" w:eastAsia="宋体"/>
        </w:rPr>
        <w:t>4.4 评价机构</w:t>
      </w:r>
      <w:r>
        <w:tab/>
      </w:r>
      <w:r>
        <w:rPr>
          <w:rFonts w:hint="eastAsia"/>
          <w:lang w:val="en-US" w:eastAsia="zh-CN"/>
        </w:rPr>
        <w:t>4</w:t>
      </w:r>
      <w:r>
        <w:fldChar w:fldCharType="end"/>
      </w:r>
    </w:p>
    <w:p>
      <w:pPr>
        <w:pStyle w:val="11"/>
        <w:tabs>
          <w:tab w:val="right" w:leader="dot" w:pos="9344"/>
        </w:tabs>
        <w:spacing w:line="360" w:lineRule="auto"/>
      </w:pPr>
      <w:r>
        <w:fldChar w:fldCharType="begin"/>
      </w:r>
      <w:r>
        <w:instrText xml:space="preserve"> HYPERLINK \l "_Toc49193529" </w:instrText>
      </w:r>
      <w:r>
        <w:fldChar w:fldCharType="separate"/>
      </w:r>
      <w:r>
        <w:rPr>
          <w:rStyle w:val="16"/>
          <w:rFonts w:ascii="宋体" w:hAnsi="宋体" w:eastAsia="宋体"/>
        </w:rPr>
        <w:t>4.5 评价人员</w:t>
      </w:r>
      <w:r>
        <w:tab/>
      </w:r>
      <w:r>
        <w:rPr>
          <w:rFonts w:hint="eastAsia"/>
          <w:lang w:val="en-US" w:eastAsia="zh-CN"/>
        </w:rPr>
        <w:t>4</w:t>
      </w:r>
      <w:r>
        <w:fldChar w:fldCharType="end"/>
      </w:r>
    </w:p>
    <w:p>
      <w:pPr>
        <w:pStyle w:val="10"/>
        <w:tabs>
          <w:tab w:val="right" w:leader="dot" w:pos="9344"/>
        </w:tabs>
        <w:spacing w:line="360" w:lineRule="auto"/>
      </w:pPr>
      <w:r>
        <w:fldChar w:fldCharType="begin"/>
      </w:r>
      <w:r>
        <w:instrText xml:space="preserve"> HYPERLINK \l "_Toc49193530" </w:instrText>
      </w:r>
      <w:r>
        <w:fldChar w:fldCharType="separate"/>
      </w:r>
      <w:r>
        <w:rPr>
          <w:rStyle w:val="16"/>
          <w:rFonts w:ascii="宋体" w:hAnsi="宋体" w:eastAsia="宋体"/>
        </w:rPr>
        <w:t>5 评价程序</w:t>
      </w:r>
      <w:r>
        <w:tab/>
      </w:r>
      <w:r>
        <w:rPr>
          <w:rFonts w:hint="eastAsia"/>
          <w:lang w:val="en-US" w:eastAsia="zh-CN"/>
        </w:rPr>
        <w:t>5</w:t>
      </w:r>
      <w:r>
        <w:fldChar w:fldCharType="end"/>
      </w:r>
    </w:p>
    <w:p>
      <w:pPr>
        <w:pStyle w:val="11"/>
        <w:tabs>
          <w:tab w:val="right" w:leader="dot" w:pos="9344"/>
        </w:tabs>
        <w:spacing w:line="360" w:lineRule="auto"/>
      </w:pPr>
      <w:r>
        <w:fldChar w:fldCharType="begin"/>
      </w:r>
      <w:r>
        <w:instrText xml:space="preserve"> HYPERLINK \l "_Toc49193531" </w:instrText>
      </w:r>
      <w:r>
        <w:fldChar w:fldCharType="separate"/>
      </w:r>
      <w:r>
        <w:rPr>
          <w:rStyle w:val="16"/>
          <w:rFonts w:ascii="宋体" w:hAnsi="宋体" w:eastAsia="宋体"/>
        </w:rPr>
        <w:t>5.1 概述</w:t>
      </w:r>
      <w:r>
        <w:tab/>
      </w:r>
      <w:r>
        <w:rPr>
          <w:rFonts w:hint="eastAsia"/>
          <w:lang w:val="en-US" w:eastAsia="zh-CN"/>
        </w:rPr>
        <w:t>5</w:t>
      </w:r>
      <w:r>
        <w:fldChar w:fldCharType="end"/>
      </w:r>
    </w:p>
    <w:p>
      <w:pPr>
        <w:pStyle w:val="11"/>
        <w:tabs>
          <w:tab w:val="right" w:leader="dot" w:pos="9344"/>
        </w:tabs>
        <w:spacing w:line="360" w:lineRule="auto"/>
      </w:pPr>
      <w:r>
        <w:fldChar w:fldCharType="begin"/>
      </w:r>
      <w:r>
        <w:instrText xml:space="preserve"> HYPERLINK \l "_Toc49193532" </w:instrText>
      </w:r>
      <w:r>
        <w:fldChar w:fldCharType="separate"/>
      </w:r>
      <w:r>
        <w:rPr>
          <w:rStyle w:val="16"/>
          <w:rFonts w:ascii="宋体" w:hAnsi="宋体" w:eastAsia="宋体"/>
        </w:rPr>
        <w:t>5.2 评价申请</w:t>
      </w:r>
      <w:r>
        <w:tab/>
      </w:r>
      <w:r>
        <w:rPr>
          <w:rFonts w:hint="eastAsia"/>
          <w:lang w:val="en-US" w:eastAsia="zh-CN"/>
        </w:rPr>
        <w:t>6</w:t>
      </w:r>
      <w:r>
        <w:fldChar w:fldCharType="end"/>
      </w:r>
    </w:p>
    <w:p>
      <w:pPr>
        <w:pStyle w:val="11"/>
        <w:tabs>
          <w:tab w:val="right" w:leader="dot" w:pos="9344"/>
        </w:tabs>
        <w:spacing w:line="360" w:lineRule="auto"/>
      </w:pPr>
      <w:r>
        <w:fldChar w:fldCharType="begin"/>
      </w:r>
      <w:r>
        <w:instrText xml:space="preserve"> HYPERLINK \l "_Toc49193533" </w:instrText>
      </w:r>
      <w:r>
        <w:fldChar w:fldCharType="separate"/>
      </w:r>
      <w:r>
        <w:rPr>
          <w:rStyle w:val="16"/>
          <w:rFonts w:ascii="宋体" w:hAnsi="宋体" w:eastAsia="宋体"/>
        </w:rPr>
        <w:t>5.3 申请评审</w:t>
      </w:r>
      <w:r>
        <w:tab/>
      </w:r>
      <w:r>
        <w:rPr>
          <w:rFonts w:hint="eastAsia"/>
          <w:lang w:val="en-US" w:eastAsia="zh-CN"/>
        </w:rPr>
        <w:t>6</w:t>
      </w:r>
      <w:r>
        <w:fldChar w:fldCharType="end"/>
      </w:r>
    </w:p>
    <w:p>
      <w:pPr>
        <w:pStyle w:val="11"/>
        <w:tabs>
          <w:tab w:val="right" w:leader="dot" w:pos="9344"/>
        </w:tabs>
        <w:spacing w:line="360" w:lineRule="auto"/>
      </w:pPr>
      <w:r>
        <w:fldChar w:fldCharType="begin"/>
      </w:r>
      <w:r>
        <w:instrText xml:space="preserve"> HYPERLINK \l "_Toc49193534" </w:instrText>
      </w:r>
      <w:r>
        <w:fldChar w:fldCharType="separate"/>
      </w:r>
      <w:r>
        <w:rPr>
          <w:rStyle w:val="16"/>
          <w:rFonts w:ascii="宋体" w:hAnsi="宋体" w:eastAsia="宋体"/>
        </w:rPr>
        <w:t>5.4 认证实施</w:t>
      </w:r>
      <w:r>
        <w:tab/>
      </w:r>
      <w:r>
        <w:rPr>
          <w:rFonts w:hint="eastAsia"/>
          <w:lang w:val="en-US" w:eastAsia="zh-CN"/>
        </w:rPr>
        <w:t>6</w:t>
      </w:r>
      <w:r>
        <w:fldChar w:fldCharType="end"/>
      </w:r>
    </w:p>
    <w:p>
      <w:pPr>
        <w:pStyle w:val="11"/>
        <w:tabs>
          <w:tab w:val="right" w:leader="dot" w:pos="9344"/>
        </w:tabs>
        <w:spacing w:line="360" w:lineRule="auto"/>
      </w:pPr>
      <w:r>
        <w:fldChar w:fldCharType="begin"/>
      </w:r>
      <w:r>
        <w:instrText xml:space="preserve"> HYPERLINK \l "_Toc49193535" </w:instrText>
      </w:r>
      <w:r>
        <w:fldChar w:fldCharType="separate"/>
      </w:r>
      <w:r>
        <w:rPr>
          <w:rStyle w:val="16"/>
          <w:rFonts w:ascii="宋体" w:hAnsi="宋体" w:eastAsia="宋体"/>
        </w:rPr>
        <w:t>5.5 证书和标志</w:t>
      </w:r>
      <w:r>
        <w:tab/>
      </w:r>
      <w:r>
        <w:fldChar w:fldCharType="begin"/>
      </w:r>
      <w:r>
        <w:instrText xml:space="preserve"> PAGEREF _Toc49193535 \h </w:instrText>
      </w:r>
      <w:r>
        <w:fldChar w:fldCharType="separate"/>
      </w:r>
      <w:r>
        <w:t>7</w:t>
      </w:r>
      <w:r>
        <w:fldChar w:fldCharType="end"/>
      </w:r>
      <w:r>
        <w:fldChar w:fldCharType="end"/>
      </w:r>
    </w:p>
    <w:p>
      <w:pPr>
        <w:tabs>
          <w:tab w:val="left" w:pos="936"/>
        </w:tabs>
        <w:spacing w:line="360" w:lineRule="auto"/>
        <w:rPr>
          <w:rFonts w:ascii="宋体" w:hAnsi="宋体" w:eastAsia="宋体"/>
          <w:szCs w:val="21"/>
        </w:rPr>
      </w:pPr>
      <w:r>
        <w:rPr>
          <w:rFonts w:ascii="宋体" w:hAnsi="宋体" w:eastAsia="宋体"/>
          <w:szCs w:val="21"/>
        </w:rPr>
        <w:fldChar w:fldCharType="end"/>
      </w:r>
    </w:p>
    <w:p>
      <w:pPr>
        <w:rPr>
          <w:rFonts w:ascii="宋体" w:hAnsi="宋体" w:eastAsia="宋体"/>
          <w:sz w:val="24"/>
          <w:szCs w:val="24"/>
        </w:rPr>
      </w:pPr>
      <w:r>
        <w:rPr>
          <w:rFonts w:ascii="宋体" w:hAnsi="宋体" w:eastAsia="宋体"/>
          <w:sz w:val="24"/>
          <w:szCs w:val="24"/>
        </w:rPr>
        <w:br w:type="page"/>
      </w:r>
    </w:p>
    <w:p>
      <w:pPr>
        <w:spacing w:line="360" w:lineRule="auto"/>
        <w:jc w:val="center"/>
        <w:rPr>
          <w:rFonts w:ascii="宋体" w:hAnsi="宋体" w:eastAsia="宋体"/>
          <w:sz w:val="24"/>
          <w:szCs w:val="24"/>
        </w:rPr>
      </w:pPr>
    </w:p>
    <w:p>
      <w:pPr>
        <w:pStyle w:val="2"/>
        <w:spacing w:before="0" w:after="0" w:line="360" w:lineRule="auto"/>
        <w:jc w:val="center"/>
        <w:rPr>
          <w:rFonts w:ascii="黑体" w:hAnsi="黑体" w:eastAsia="黑体"/>
          <w:sz w:val="32"/>
          <w:szCs w:val="32"/>
        </w:rPr>
      </w:pPr>
      <w:bookmarkStart w:id="0" w:name="_Toc49193520"/>
      <w:r>
        <w:rPr>
          <w:rFonts w:hint="eastAsia" w:ascii="黑体" w:hAnsi="黑体" w:eastAsia="黑体"/>
          <w:sz w:val="32"/>
          <w:szCs w:val="32"/>
        </w:rPr>
        <w:t>前言</w:t>
      </w:r>
      <w:bookmarkEnd w:id="0"/>
    </w:p>
    <w:p>
      <w:pPr>
        <w:spacing w:line="360" w:lineRule="auto"/>
        <w:jc w:val="center"/>
        <w:rPr>
          <w:rFonts w:ascii="宋体" w:hAnsi="宋体" w:eastAsia="宋体"/>
          <w:sz w:val="24"/>
          <w:szCs w:val="24"/>
        </w:rPr>
      </w:pPr>
    </w:p>
    <w:p>
      <w:pPr>
        <w:spacing w:line="360" w:lineRule="auto"/>
        <w:ind w:firstLine="480"/>
        <w:rPr>
          <w:rFonts w:ascii="宋体" w:hAnsi="宋体" w:eastAsia="宋体"/>
          <w:szCs w:val="21"/>
        </w:rPr>
      </w:pPr>
      <w:r>
        <w:rPr>
          <w:rFonts w:hint="eastAsia" w:ascii="宋体" w:hAnsi="宋体" w:eastAsia="宋体"/>
          <w:szCs w:val="21"/>
        </w:rPr>
        <w:t>本文件按照</w:t>
      </w:r>
      <w:r>
        <w:rPr>
          <w:rFonts w:ascii="宋体" w:hAnsi="宋体" w:eastAsia="宋体"/>
          <w:szCs w:val="21"/>
        </w:rPr>
        <w:t>GB/T 1.1</w:t>
      </w:r>
      <w:r>
        <w:rPr>
          <w:rFonts w:hint="eastAsia" w:ascii="宋体" w:hAnsi="宋体" w:eastAsia="宋体"/>
          <w:szCs w:val="21"/>
        </w:rPr>
        <w:t>-</w:t>
      </w:r>
      <w:r>
        <w:rPr>
          <w:rFonts w:ascii="宋体" w:hAnsi="宋体" w:eastAsia="宋体"/>
          <w:szCs w:val="21"/>
        </w:rPr>
        <w:t>2020《标准化工作导则 第1部分：标准化文件的结构和起草规则》的规定起</w:t>
      </w:r>
      <w:r>
        <w:rPr>
          <w:rFonts w:hint="eastAsia" w:ascii="宋体" w:hAnsi="宋体" w:eastAsia="宋体"/>
          <w:szCs w:val="21"/>
        </w:rPr>
        <w:t>草。</w:t>
      </w:r>
    </w:p>
    <w:p>
      <w:pPr>
        <w:spacing w:line="360" w:lineRule="auto"/>
        <w:ind w:firstLine="420" w:firstLineChars="200"/>
        <w:rPr>
          <w:rFonts w:ascii="宋体" w:hAnsi="宋体" w:eastAsia="宋体"/>
          <w:szCs w:val="21"/>
        </w:rPr>
      </w:pPr>
      <w:r>
        <w:rPr>
          <w:rFonts w:hint="eastAsia" w:ascii="宋体" w:hAnsi="宋体" w:eastAsia="宋体"/>
          <w:szCs w:val="21"/>
        </w:rPr>
        <w:t>T/</w:t>
      </w:r>
      <w:r>
        <w:rPr>
          <w:rFonts w:ascii="宋体" w:hAnsi="宋体" w:eastAsia="宋体"/>
          <w:szCs w:val="21"/>
        </w:rPr>
        <w:t>GZCXLM 001</w:t>
      </w:r>
      <w:r>
        <w:rPr>
          <w:rFonts w:hint="eastAsia" w:ascii="宋体" w:hAnsi="宋体" w:eastAsia="宋体"/>
          <w:szCs w:val="21"/>
        </w:rPr>
        <w:t>《广州品牌评价》分为2个部分：</w:t>
      </w:r>
    </w:p>
    <w:p>
      <w:pPr>
        <w:spacing w:line="360" w:lineRule="auto"/>
        <w:ind w:firstLine="420" w:firstLineChars="200"/>
        <w:rPr>
          <w:rFonts w:ascii="宋体" w:hAnsi="宋体" w:eastAsia="宋体"/>
          <w:szCs w:val="21"/>
        </w:rPr>
      </w:pPr>
      <w:r>
        <w:rPr>
          <w:rFonts w:hint="eastAsia" w:ascii="宋体" w:hAnsi="宋体" w:eastAsia="宋体"/>
          <w:szCs w:val="21"/>
        </w:rPr>
        <w:t xml:space="preserve">——第1部分：基本要求 </w:t>
      </w:r>
    </w:p>
    <w:p>
      <w:pPr>
        <w:spacing w:line="360" w:lineRule="auto"/>
        <w:ind w:firstLine="420" w:firstLineChars="200"/>
        <w:rPr>
          <w:rFonts w:ascii="宋体" w:hAnsi="宋体" w:eastAsia="宋体"/>
          <w:szCs w:val="21"/>
        </w:rPr>
      </w:pPr>
      <w:r>
        <w:rPr>
          <w:rFonts w:hint="eastAsia" w:ascii="宋体" w:hAnsi="宋体" w:eastAsia="宋体"/>
          <w:szCs w:val="21"/>
        </w:rPr>
        <w:t xml:space="preserve">——第2部分：特殊要求 </w:t>
      </w:r>
    </w:p>
    <w:p>
      <w:pPr>
        <w:spacing w:line="360" w:lineRule="auto"/>
        <w:ind w:firstLine="420" w:firstLineChars="200"/>
        <w:rPr>
          <w:rFonts w:ascii="宋体" w:hAnsi="宋体" w:eastAsia="宋体"/>
          <w:szCs w:val="21"/>
        </w:rPr>
      </w:pPr>
      <w:r>
        <w:rPr>
          <w:rFonts w:hint="eastAsia" w:ascii="宋体" w:hAnsi="宋体" w:eastAsia="宋体"/>
          <w:szCs w:val="21"/>
        </w:rPr>
        <w:t>本文件是T/</w:t>
      </w:r>
      <w:r>
        <w:rPr>
          <w:rFonts w:ascii="宋体" w:hAnsi="宋体" w:eastAsia="宋体"/>
          <w:szCs w:val="21"/>
        </w:rPr>
        <w:t>GZCXLM 001</w:t>
      </w:r>
      <w:r>
        <w:rPr>
          <w:rFonts w:hint="eastAsia" w:ascii="宋体" w:hAnsi="宋体" w:eastAsia="宋体"/>
          <w:szCs w:val="21"/>
        </w:rPr>
        <w:t>的第1部分。</w:t>
      </w:r>
    </w:p>
    <w:p>
      <w:pPr>
        <w:spacing w:line="360" w:lineRule="auto"/>
        <w:ind w:firstLine="420" w:firstLineChars="200"/>
        <w:rPr>
          <w:rFonts w:ascii="宋体" w:hAnsi="宋体" w:eastAsia="宋体"/>
          <w:szCs w:val="21"/>
        </w:rPr>
      </w:pPr>
      <w:r>
        <w:rPr>
          <w:rFonts w:hint="eastAsia" w:ascii="宋体" w:hAnsi="宋体" w:eastAsia="宋体"/>
          <w:szCs w:val="21"/>
        </w:rPr>
        <w:t>本文件由xx提出。</w:t>
      </w:r>
    </w:p>
    <w:p>
      <w:pPr>
        <w:spacing w:line="360" w:lineRule="auto"/>
        <w:ind w:firstLine="420" w:firstLineChars="200"/>
        <w:rPr>
          <w:rFonts w:ascii="宋体" w:hAnsi="宋体" w:eastAsia="宋体"/>
          <w:szCs w:val="21"/>
        </w:rPr>
      </w:pPr>
      <w:r>
        <w:rPr>
          <w:rFonts w:hint="eastAsia" w:ascii="宋体" w:hAnsi="宋体" w:eastAsia="宋体"/>
          <w:szCs w:val="21"/>
        </w:rPr>
        <w:t>本文件由xx归口。</w:t>
      </w:r>
    </w:p>
    <w:p>
      <w:pPr>
        <w:spacing w:line="360" w:lineRule="auto"/>
        <w:ind w:firstLine="420" w:firstLineChars="200"/>
        <w:rPr>
          <w:rFonts w:ascii="宋体" w:hAnsi="宋体" w:eastAsia="宋体"/>
          <w:szCs w:val="21"/>
        </w:rPr>
      </w:pPr>
      <w:r>
        <w:rPr>
          <w:rFonts w:hint="eastAsia" w:ascii="宋体" w:hAnsi="宋体" w:eastAsia="宋体"/>
          <w:szCs w:val="21"/>
        </w:rPr>
        <w:t>本文件起草单位：</w:t>
      </w:r>
    </w:p>
    <w:p>
      <w:pPr>
        <w:spacing w:line="360" w:lineRule="auto"/>
        <w:ind w:firstLine="420" w:firstLineChars="200"/>
        <w:rPr>
          <w:rFonts w:ascii="宋体" w:hAnsi="宋体" w:eastAsia="宋体"/>
          <w:szCs w:val="21"/>
        </w:rPr>
      </w:pPr>
      <w:r>
        <w:rPr>
          <w:rFonts w:hint="eastAsia" w:ascii="宋体" w:hAnsi="宋体" w:eastAsia="宋体"/>
          <w:szCs w:val="21"/>
        </w:rPr>
        <w:t>本文件主要起草人：</w:t>
      </w:r>
    </w:p>
    <w:p>
      <w:pPr>
        <w:spacing w:line="360" w:lineRule="auto"/>
        <w:ind w:firstLine="420" w:firstLineChars="200"/>
        <w:rPr>
          <w:rFonts w:ascii="宋体" w:hAnsi="宋体" w:eastAsia="宋体"/>
          <w:szCs w:val="21"/>
        </w:rPr>
        <w:sectPr>
          <w:headerReference r:id="rId3" w:type="default"/>
          <w:footerReference r:id="rId5" w:type="default"/>
          <w:headerReference r:id="rId4" w:type="even"/>
          <w:footerReference r:id="rId6" w:type="even"/>
          <w:pgSz w:w="11906" w:h="16838"/>
          <w:pgMar w:top="1985" w:right="1134" w:bottom="1701" w:left="1134" w:header="1418" w:footer="1418" w:gutter="284"/>
          <w:pgNumType w:fmt="upperRoman" w:start="1"/>
          <w:cols w:space="425" w:num="1"/>
          <w:docGrid w:type="lines" w:linePitch="312" w:charSpace="0"/>
        </w:sectPr>
      </w:pPr>
      <w:r>
        <w:rPr>
          <w:rFonts w:hint="eastAsia" w:ascii="宋体" w:hAnsi="宋体" w:eastAsia="宋体"/>
          <w:szCs w:val="21"/>
        </w:rPr>
        <w:t>本文件为首次发布。</w:t>
      </w:r>
    </w:p>
    <w:p>
      <w:pPr>
        <w:spacing w:line="360" w:lineRule="auto"/>
        <w:jc w:val="center"/>
        <w:rPr>
          <w:rFonts w:ascii="黑体" w:hAnsi="黑体" w:eastAsia="黑体"/>
          <w:b/>
          <w:bCs/>
          <w:sz w:val="32"/>
          <w:szCs w:val="32"/>
        </w:rPr>
      </w:pPr>
      <w:r>
        <w:rPr>
          <w:rFonts w:hint="eastAsia" w:ascii="黑体" w:hAnsi="黑体" w:eastAsia="黑体"/>
          <w:b/>
          <w:bCs/>
          <w:sz w:val="32"/>
          <w:szCs w:val="32"/>
        </w:rPr>
        <w:t>广州品牌评价 第1部分：基本要求</w:t>
      </w:r>
    </w:p>
    <w:p>
      <w:pPr>
        <w:spacing w:line="360" w:lineRule="auto"/>
        <w:rPr>
          <w:rFonts w:ascii="宋体" w:hAnsi="宋体" w:eastAsia="宋体"/>
          <w:sz w:val="24"/>
          <w:szCs w:val="24"/>
        </w:rPr>
      </w:pPr>
    </w:p>
    <w:p>
      <w:pPr>
        <w:pStyle w:val="2"/>
        <w:spacing w:before="0" w:after="0" w:line="360" w:lineRule="auto"/>
        <w:rPr>
          <w:rFonts w:ascii="宋体" w:hAnsi="宋体" w:eastAsia="宋体"/>
          <w:sz w:val="24"/>
          <w:szCs w:val="24"/>
        </w:rPr>
      </w:pPr>
      <w:bookmarkStart w:id="1" w:name="_Toc49193521"/>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范围</w:t>
      </w:r>
      <w:bookmarkEnd w:id="1"/>
    </w:p>
    <w:p>
      <w:pPr>
        <w:spacing w:line="360" w:lineRule="auto"/>
        <w:ind w:firstLine="480" w:firstLineChars="200"/>
        <w:rPr>
          <w:rFonts w:ascii="宋体" w:hAnsi="宋体" w:eastAsia="宋体"/>
          <w:sz w:val="24"/>
          <w:szCs w:val="24"/>
        </w:rPr>
      </w:pPr>
      <w:r>
        <w:rPr>
          <w:rFonts w:hint="eastAsia" w:ascii="宋体" w:hAnsi="宋体" w:eastAsia="宋体"/>
          <w:sz w:val="24"/>
          <w:szCs w:val="24"/>
        </w:rPr>
        <w:t>本文件规定了广州品牌评价的流程等内容。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本文件适用于广州品牌评价工作。</w:t>
      </w:r>
    </w:p>
    <w:p>
      <w:pPr>
        <w:pStyle w:val="2"/>
        <w:spacing w:before="0" w:after="0" w:line="360" w:lineRule="auto"/>
        <w:rPr>
          <w:rFonts w:ascii="宋体" w:hAnsi="宋体" w:eastAsia="宋体"/>
          <w:sz w:val="24"/>
          <w:szCs w:val="24"/>
        </w:rPr>
      </w:pPr>
      <w:bookmarkStart w:id="2" w:name="_Toc49193522"/>
      <w:r>
        <w:rPr>
          <w:rFonts w:hint="eastAsia" w:ascii="宋体" w:hAnsi="宋体" w:eastAsia="宋体"/>
          <w:sz w:val="24"/>
          <w:szCs w:val="24"/>
        </w:rPr>
        <w:t>2 规范性引用文件</w:t>
      </w:r>
      <w:bookmarkEnd w:id="2"/>
    </w:p>
    <w:p>
      <w:pPr>
        <w:spacing w:line="360" w:lineRule="auto"/>
        <w:ind w:firstLine="480" w:firstLineChars="200"/>
        <w:rPr>
          <w:rFonts w:ascii="宋体" w:hAnsi="宋体" w:eastAsia="宋体"/>
          <w:sz w:val="24"/>
          <w:szCs w:val="24"/>
        </w:rPr>
      </w:pPr>
      <w:r>
        <w:rPr>
          <w:rFonts w:hint="eastAsia" w:ascii="宋体" w:hAnsi="宋体" w:eastAsia="宋体"/>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80" w:firstLineChars="200"/>
        <w:rPr>
          <w:rFonts w:ascii="宋体" w:hAnsi="宋体" w:eastAsia="宋体"/>
          <w:sz w:val="24"/>
          <w:szCs w:val="24"/>
        </w:rPr>
      </w:pPr>
      <w:r>
        <w:rPr>
          <w:rFonts w:ascii="宋体" w:hAnsi="宋体" w:eastAsia="宋体"/>
          <w:sz w:val="24"/>
          <w:szCs w:val="24"/>
        </w:rPr>
        <w:t>GB/T 27925</w:t>
      </w:r>
      <w:r>
        <w:rPr>
          <w:rFonts w:hint="eastAsia" w:ascii="宋体" w:hAnsi="宋体" w:eastAsia="宋体"/>
          <w:sz w:val="24"/>
          <w:szCs w:val="24"/>
        </w:rPr>
        <w:t>-</w:t>
      </w:r>
      <w:r>
        <w:rPr>
          <w:rFonts w:ascii="宋体" w:hAnsi="宋体" w:eastAsia="宋体"/>
          <w:sz w:val="24"/>
          <w:szCs w:val="24"/>
        </w:rPr>
        <w:t>2011 商业企业品牌评价与企业文化建设指南</w:t>
      </w:r>
    </w:p>
    <w:p>
      <w:pPr>
        <w:spacing w:line="360" w:lineRule="auto"/>
        <w:ind w:firstLine="480" w:firstLineChars="200"/>
        <w:rPr>
          <w:rFonts w:ascii="宋体" w:hAnsi="宋体" w:eastAsia="宋体"/>
          <w:sz w:val="24"/>
          <w:szCs w:val="24"/>
        </w:rPr>
      </w:pPr>
      <w:r>
        <w:rPr>
          <w:rFonts w:ascii="宋体" w:hAnsi="宋体" w:eastAsia="宋体"/>
          <w:sz w:val="24"/>
          <w:szCs w:val="24"/>
        </w:rPr>
        <w:t>GB/T 27000</w:t>
      </w:r>
      <w:r>
        <w:rPr>
          <w:rFonts w:hint="eastAsia" w:ascii="宋体" w:hAnsi="宋体" w:eastAsia="宋体"/>
          <w:sz w:val="24"/>
          <w:szCs w:val="24"/>
        </w:rPr>
        <w:t>-</w:t>
      </w:r>
      <w:r>
        <w:rPr>
          <w:rFonts w:ascii="宋体" w:hAnsi="宋体" w:eastAsia="宋体"/>
          <w:sz w:val="24"/>
          <w:szCs w:val="24"/>
        </w:rPr>
        <w:t>2006 合格评定 词汇和通用原则</w:t>
      </w:r>
    </w:p>
    <w:p>
      <w:pPr>
        <w:spacing w:line="360" w:lineRule="auto"/>
        <w:ind w:firstLine="480" w:firstLineChars="200"/>
        <w:rPr>
          <w:rFonts w:ascii="宋体" w:hAnsi="宋体" w:eastAsia="宋体"/>
          <w:sz w:val="24"/>
          <w:szCs w:val="24"/>
        </w:rPr>
      </w:pPr>
      <w:r>
        <w:rPr>
          <w:rFonts w:ascii="宋体" w:hAnsi="宋体" w:eastAsia="宋体"/>
          <w:sz w:val="24"/>
          <w:szCs w:val="24"/>
        </w:rPr>
        <w:t>GB/T 27400</w:t>
      </w:r>
      <w:r>
        <w:rPr>
          <w:rFonts w:hint="eastAsia" w:ascii="宋体" w:hAnsi="宋体" w:eastAsia="宋体"/>
          <w:sz w:val="24"/>
          <w:szCs w:val="24"/>
        </w:rPr>
        <w:t>-</w:t>
      </w:r>
      <w:r>
        <w:rPr>
          <w:rFonts w:ascii="宋体" w:hAnsi="宋体" w:eastAsia="宋体"/>
          <w:sz w:val="24"/>
          <w:szCs w:val="24"/>
        </w:rPr>
        <w:t>2020 合格评定 服务认证技术通则</w:t>
      </w:r>
    </w:p>
    <w:p>
      <w:pPr>
        <w:spacing w:line="360" w:lineRule="auto"/>
        <w:ind w:firstLine="480" w:firstLineChars="200"/>
        <w:rPr>
          <w:rFonts w:ascii="宋体" w:hAnsi="宋体" w:eastAsia="宋体"/>
          <w:sz w:val="24"/>
          <w:szCs w:val="24"/>
        </w:rPr>
      </w:pPr>
      <w:r>
        <w:rPr>
          <w:rFonts w:ascii="宋体" w:hAnsi="宋体" w:eastAsia="宋体"/>
          <w:sz w:val="24"/>
          <w:szCs w:val="24"/>
        </w:rPr>
        <w:t>GB/T 29185</w:t>
      </w:r>
      <w:r>
        <w:rPr>
          <w:rFonts w:hint="eastAsia" w:ascii="宋体" w:hAnsi="宋体" w:eastAsia="宋体"/>
          <w:sz w:val="24"/>
          <w:szCs w:val="24"/>
        </w:rPr>
        <w:t>-</w:t>
      </w:r>
      <w:r>
        <w:rPr>
          <w:rFonts w:ascii="宋体" w:hAnsi="宋体" w:eastAsia="宋体"/>
          <w:sz w:val="24"/>
          <w:szCs w:val="24"/>
        </w:rPr>
        <w:t>2012 品牌价值 术语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G</w:t>
      </w:r>
      <w:r>
        <w:rPr>
          <w:rFonts w:ascii="宋体" w:hAnsi="宋体" w:eastAsia="宋体"/>
          <w:sz w:val="24"/>
          <w:szCs w:val="24"/>
        </w:rPr>
        <w:t xml:space="preserve">B/T 19011/ISO 19011 </w:t>
      </w:r>
      <w:r>
        <w:rPr>
          <w:rFonts w:hint="eastAsia" w:ascii="宋体" w:hAnsi="宋体" w:eastAsia="宋体"/>
          <w:sz w:val="24"/>
          <w:szCs w:val="24"/>
        </w:rPr>
        <w:t>管理体系审核指南</w:t>
      </w:r>
    </w:p>
    <w:p>
      <w:pPr>
        <w:pStyle w:val="2"/>
        <w:spacing w:before="0" w:after="0" w:line="360" w:lineRule="auto"/>
        <w:rPr>
          <w:rFonts w:ascii="宋体" w:hAnsi="宋体" w:eastAsia="宋体"/>
          <w:sz w:val="24"/>
          <w:szCs w:val="24"/>
        </w:rPr>
      </w:pPr>
      <w:bookmarkStart w:id="3" w:name="_Toc49193523"/>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术语和定义</w:t>
      </w:r>
      <w:bookmarkEnd w:id="3"/>
    </w:p>
    <w:p>
      <w:pPr>
        <w:spacing w:line="360" w:lineRule="auto"/>
        <w:ind w:firstLine="480" w:firstLineChars="200"/>
        <w:rPr>
          <w:rFonts w:ascii="宋体" w:hAnsi="宋体" w:eastAsia="宋体"/>
          <w:sz w:val="24"/>
          <w:szCs w:val="24"/>
        </w:rPr>
      </w:pPr>
      <w:r>
        <w:rPr>
          <w:rFonts w:ascii="宋体" w:hAnsi="宋体" w:eastAsia="宋体"/>
          <w:sz w:val="24"/>
          <w:szCs w:val="24"/>
        </w:rPr>
        <w:t>GB/T 27000</w:t>
      </w:r>
      <w:r>
        <w:rPr>
          <w:rFonts w:hint="eastAsia" w:ascii="宋体" w:hAnsi="宋体" w:eastAsia="宋体"/>
          <w:sz w:val="24"/>
          <w:szCs w:val="24"/>
        </w:rPr>
        <w:t>-</w:t>
      </w:r>
      <w:r>
        <w:rPr>
          <w:rFonts w:ascii="宋体" w:hAnsi="宋体" w:eastAsia="宋体"/>
          <w:sz w:val="24"/>
          <w:szCs w:val="24"/>
        </w:rPr>
        <w:t>2006、GB/T 27925</w:t>
      </w:r>
      <w:r>
        <w:rPr>
          <w:rFonts w:hint="eastAsia" w:ascii="宋体" w:hAnsi="宋体" w:eastAsia="宋体"/>
          <w:sz w:val="24"/>
          <w:szCs w:val="24"/>
        </w:rPr>
        <w:t>-</w:t>
      </w:r>
      <w:r>
        <w:rPr>
          <w:rFonts w:ascii="宋体" w:hAnsi="宋体" w:eastAsia="宋体"/>
          <w:sz w:val="24"/>
          <w:szCs w:val="24"/>
        </w:rPr>
        <w:t>2011和GB/T 29185</w:t>
      </w:r>
      <w:r>
        <w:rPr>
          <w:rFonts w:hint="eastAsia" w:ascii="宋体" w:hAnsi="宋体" w:eastAsia="宋体"/>
          <w:sz w:val="24"/>
          <w:szCs w:val="24"/>
        </w:rPr>
        <w:t>-</w:t>
      </w:r>
      <w:r>
        <w:rPr>
          <w:rFonts w:ascii="宋体" w:hAnsi="宋体" w:eastAsia="宋体"/>
          <w:sz w:val="24"/>
          <w:szCs w:val="24"/>
        </w:rPr>
        <w:t>2012界定的以及下列术语和定义适用于本</w:t>
      </w:r>
      <w:r>
        <w:rPr>
          <w:rFonts w:hint="eastAsia" w:ascii="宋体" w:hAnsi="宋体" w:eastAsia="宋体"/>
          <w:sz w:val="24"/>
          <w:szCs w:val="24"/>
        </w:rPr>
        <w:t>文件。</w:t>
      </w:r>
    </w:p>
    <w:p>
      <w:pPr>
        <w:spacing w:line="360" w:lineRule="auto"/>
        <w:rPr>
          <w:rFonts w:ascii="宋体" w:hAnsi="宋体" w:eastAsia="宋体"/>
          <w:b/>
          <w:bCs/>
          <w:sz w:val="24"/>
          <w:szCs w:val="24"/>
        </w:rPr>
      </w:pPr>
      <w:r>
        <w:rPr>
          <w:rFonts w:ascii="宋体" w:hAnsi="宋体" w:eastAsia="宋体"/>
          <w:b/>
          <w:bCs/>
          <w:sz w:val="24"/>
          <w:szCs w:val="24"/>
        </w:rPr>
        <w:t>3.1</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 xml:space="preserve">企业品牌 </w:t>
      </w:r>
      <w:r>
        <w:rPr>
          <w:rFonts w:ascii="宋体" w:hAnsi="宋体" w:eastAsia="宋体"/>
          <w:b/>
          <w:bCs/>
          <w:sz w:val="24"/>
          <w:szCs w:val="24"/>
        </w:rPr>
        <w:t>enterprise brand</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企业（</w:t>
      </w:r>
      <w:r>
        <w:rPr>
          <w:rFonts w:ascii="宋体" w:hAnsi="宋体" w:eastAsia="宋体"/>
          <w:sz w:val="24"/>
          <w:szCs w:val="24"/>
        </w:rPr>
        <w:t>包括其商品和服务</w:t>
      </w:r>
      <w:r>
        <w:rPr>
          <w:rFonts w:hint="eastAsia" w:ascii="宋体" w:hAnsi="宋体" w:eastAsia="宋体"/>
          <w:sz w:val="24"/>
          <w:szCs w:val="24"/>
        </w:rPr>
        <w:t>）</w:t>
      </w:r>
      <w:r>
        <w:rPr>
          <w:rFonts w:ascii="宋体" w:hAnsi="宋体" w:eastAsia="宋体"/>
          <w:sz w:val="24"/>
          <w:szCs w:val="24"/>
        </w:rPr>
        <w:t>的能力</w:t>
      </w:r>
      <w:r>
        <w:rPr>
          <w:rFonts w:hint="eastAsia" w:ascii="宋体" w:hAnsi="宋体" w:eastAsia="宋体"/>
          <w:sz w:val="24"/>
          <w:szCs w:val="24"/>
        </w:rPr>
        <w:t>、</w:t>
      </w:r>
      <w:r>
        <w:rPr>
          <w:rFonts w:ascii="宋体" w:hAnsi="宋体" w:eastAsia="宋体"/>
          <w:sz w:val="24"/>
          <w:szCs w:val="24"/>
        </w:rPr>
        <w:t>品质</w:t>
      </w:r>
      <w:r>
        <w:rPr>
          <w:rFonts w:hint="eastAsia" w:ascii="宋体" w:hAnsi="宋体" w:eastAsia="宋体"/>
          <w:sz w:val="24"/>
          <w:szCs w:val="24"/>
        </w:rPr>
        <w:t>、</w:t>
      </w:r>
      <w:r>
        <w:rPr>
          <w:rFonts w:ascii="宋体" w:hAnsi="宋体" w:eastAsia="宋体"/>
          <w:sz w:val="24"/>
          <w:szCs w:val="24"/>
        </w:rPr>
        <w:t>价值</w:t>
      </w:r>
      <w:r>
        <w:rPr>
          <w:rFonts w:hint="eastAsia" w:ascii="宋体" w:hAnsi="宋体" w:eastAsia="宋体"/>
          <w:sz w:val="24"/>
          <w:szCs w:val="24"/>
        </w:rPr>
        <w:t>、</w:t>
      </w:r>
      <w:r>
        <w:rPr>
          <w:rFonts w:ascii="宋体" w:hAnsi="宋体" w:eastAsia="宋体"/>
          <w:sz w:val="24"/>
          <w:szCs w:val="24"/>
        </w:rPr>
        <w:t>声誉</w:t>
      </w:r>
      <w:r>
        <w:rPr>
          <w:rFonts w:hint="eastAsia" w:ascii="宋体" w:hAnsi="宋体" w:eastAsia="宋体"/>
          <w:sz w:val="24"/>
          <w:szCs w:val="24"/>
        </w:rPr>
        <w:t>、</w:t>
      </w:r>
      <w:r>
        <w:rPr>
          <w:rFonts w:ascii="宋体" w:hAnsi="宋体" w:eastAsia="宋体"/>
          <w:sz w:val="24"/>
          <w:szCs w:val="24"/>
        </w:rPr>
        <w:t>影响和企业文化等要素共同形成的综合形象</w:t>
      </w:r>
      <w:r>
        <w:rPr>
          <w:rFonts w:hint="eastAsia" w:ascii="宋体" w:hAnsi="宋体" w:eastAsia="宋体"/>
          <w:sz w:val="24"/>
          <w:szCs w:val="24"/>
        </w:rPr>
        <w:t>，通过名称、</w:t>
      </w:r>
      <w:r>
        <w:rPr>
          <w:rFonts w:ascii="宋体" w:hAnsi="宋体" w:eastAsia="宋体"/>
          <w:sz w:val="24"/>
          <w:szCs w:val="24"/>
        </w:rPr>
        <w:t>标识</w:t>
      </w:r>
      <w:r>
        <w:rPr>
          <w:rFonts w:hint="eastAsia" w:ascii="宋体" w:hAnsi="宋体" w:eastAsia="宋体"/>
          <w:sz w:val="24"/>
          <w:szCs w:val="24"/>
        </w:rPr>
        <w:t>、</w:t>
      </w:r>
      <w:r>
        <w:rPr>
          <w:rFonts w:ascii="宋体" w:hAnsi="宋体" w:eastAsia="宋体"/>
          <w:sz w:val="24"/>
          <w:szCs w:val="24"/>
        </w:rPr>
        <w:t>形象设计等相关的管理和活动体现</w:t>
      </w:r>
      <w:r>
        <w:rPr>
          <w:rFonts w:hint="eastAsia" w:ascii="宋体" w:hAnsi="宋体" w:eastAsia="宋体"/>
          <w:sz w:val="24"/>
          <w:szCs w:val="24"/>
        </w:rPr>
        <w:t>。</w:t>
      </w:r>
    </w:p>
    <w:p>
      <w:pPr>
        <w:spacing w:line="360" w:lineRule="auto"/>
        <w:rPr>
          <w:rFonts w:ascii="宋体" w:hAnsi="宋体" w:eastAsia="宋体"/>
          <w:b/>
          <w:bCs/>
          <w:sz w:val="24"/>
          <w:szCs w:val="24"/>
        </w:rPr>
      </w:pPr>
      <w:r>
        <w:rPr>
          <w:rFonts w:ascii="宋体" w:hAnsi="宋体" w:eastAsia="宋体"/>
          <w:b/>
          <w:bCs/>
          <w:sz w:val="24"/>
          <w:szCs w:val="24"/>
        </w:rPr>
        <w:t>3.2</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品牌认证</w:t>
      </w:r>
      <w:r>
        <w:rPr>
          <w:rFonts w:ascii="宋体" w:hAnsi="宋体" w:eastAsia="宋体"/>
          <w:b/>
          <w:bCs/>
          <w:sz w:val="24"/>
          <w:szCs w:val="24"/>
        </w:rPr>
        <w:t xml:space="preserve"> brand certification</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由国家认证认可监督管理委员会批准的认证机构，依据</w:t>
      </w:r>
      <w:r>
        <w:rPr>
          <w:rFonts w:ascii="宋体" w:hAnsi="宋体" w:eastAsia="宋体"/>
          <w:sz w:val="24"/>
          <w:szCs w:val="24"/>
        </w:rPr>
        <w:t>GB/T 27925</w:t>
      </w:r>
      <w:r>
        <w:rPr>
          <w:rFonts w:hint="eastAsia" w:ascii="宋体" w:hAnsi="宋体" w:eastAsia="宋体"/>
          <w:sz w:val="24"/>
          <w:szCs w:val="24"/>
        </w:rPr>
        <w:t>-</w:t>
      </w:r>
      <w:r>
        <w:rPr>
          <w:rFonts w:ascii="宋体" w:hAnsi="宋体" w:eastAsia="宋体"/>
          <w:sz w:val="24"/>
          <w:szCs w:val="24"/>
        </w:rPr>
        <w:t>2011</w:t>
      </w:r>
      <w:r>
        <w:rPr>
          <w:rFonts w:hint="eastAsia" w:ascii="宋体" w:hAnsi="宋体" w:eastAsia="宋体"/>
          <w:sz w:val="24"/>
          <w:szCs w:val="24"/>
        </w:rPr>
        <w:t>、T/</w:t>
      </w:r>
      <w:r>
        <w:rPr>
          <w:rFonts w:ascii="宋体" w:hAnsi="宋体" w:eastAsia="宋体"/>
          <w:sz w:val="24"/>
          <w:szCs w:val="24"/>
        </w:rPr>
        <w:t>GZCXLM 001</w:t>
      </w:r>
      <w:r>
        <w:rPr>
          <w:rFonts w:hint="eastAsia" w:ascii="宋体" w:hAnsi="宋体" w:eastAsia="宋体"/>
          <w:sz w:val="24"/>
          <w:szCs w:val="24"/>
        </w:rPr>
        <w:t>的要求，对申请组织的商业企业品牌进行评价并明确其品牌管理成熟度等级的合格评定活动。</w:t>
      </w:r>
    </w:p>
    <w:p>
      <w:pPr>
        <w:spacing w:line="360" w:lineRule="auto"/>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3</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广州品牌评价</w:t>
      </w:r>
      <w:r>
        <w:rPr>
          <w:rFonts w:ascii="宋体" w:hAnsi="宋体" w:eastAsia="宋体"/>
          <w:b/>
          <w:bCs/>
          <w:sz w:val="24"/>
          <w:szCs w:val="24"/>
        </w:rPr>
        <w:t xml:space="preserve"> G</w:t>
      </w:r>
      <w:r>
        <w:rPr>
          <w:rFonts w:hint="eastAsia" w:ascii="宋体" w:hAnsi="宋体" w:eastAsia="宋体"/>
          <w:b/>
          <w:bCs/>
          <w:sz w:val="24"/>
          <w:szCs w:val="24"/>
        </w:rPr>
        <w:t>uangzhou</w:t>
      </w:r>
      <w:r>
        <w:rPr>
          <w:rFonts w:ascii="宋体" w:hAnsi="宋体" w:eastAsia="宋体"/>
          <w:b/>
          <w:bCs/>
          <w:sz w:val="24"/>
          <w:szCs w:val="24"/>
        </w:rPr>
        <w:t xml:space="preserve"> brand evaluation</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基于本文件制定的评价体系，对组织品牌建设进行全面分析，通过对组织品牌能力、</w:t>
      </w:r>
      <w:r>
        <w:rPr>
          <w:rFonts w:ascii="宋体" w:hAnsi="宋体" w:eastAsia="宋体"/>
          <w:sz w:val="24"/>
          <w:szCs w:val="24"/>
        </w:rPr>
        <w:t>品质</w:t>
      </w:r>
      <w:r>
        <w:rPr>
          <w:rFonts w:hint="eastAsia" w:ascii="宋体" w:hAnsi="宋体" w:eastAsia="宋体"/>
          <w:sz w:val="24"/>
          <w:szCs w:val="24"/>
        </w:rPr>
        <w:t>、</w:t>
      </w:r>
      <w:r>
        <w:rPr>
          <w:rFonts w:ascii="宋体" w:hAnsi="宋体" w:eastAsia="宋体"/>
          <w:sz w:val="24"/>
          <w:szCs w:val="24"/>
        </w:rPr>
        <w:t>价值</w:t>
      </w:r>
      <w:r>
        <w:rPr>
          <w:rFonts w:hint="eastAsia" w:ascii="宋体" w:hAnsi="宋体" w:eastAsia="宋体"/>
          <w:sz w:val="24"/>
          <w:szCs w:val="24"/>
        </w:rPr>
        <w:t>、</w:t>
      </w:r>
      <w:r>
        <w:rPr>
          <w:rFonts w:ascii="宋体" w:hAnsi="宋体" w:eastAsia="宋体"/>
          <w:sz w:val="24"/>
          <w:szCs w:val="24"/>
        </w:rPr>
        <w:t>声誉</w:t>
      </w:r>
      <w:r>
        <w:rPr>
          <w:rFonts w:hint="eastAsia" w:ascii="宋体" w:hAnsi="宋体" w:eastAsia="宋体"/>
          <w:sz w:val="24"/>
          <w:szCs w:val="24"/>
        </w:rPr>
        <w:t>、</w:t>
      </w:r>
      <w:r>
        <w:rPr>
          <w:rFonts w:ascii="宋体" w:hAnsi="宋体" w:eastAsia="宋体"/>
          <w:sz w:val="24"/>
          <w:szCs w:val="24"/>
        </w:rPr>
        <w:t>影响力和企业文化等要素</w:t>
      </w:r>
      <w:r>
        <w:rPr>
          <w:rFonts w:hint="eastAsia" w:ascii="宋体" w:hAnsi="宋体" w:eastAsia="宋体"/>
          <w:sz w:val="24"/>
          <w:szCs w:val="24"/>
        </w:rPr>
        <w:t>进行评价判定。</w:t>
      </w:r>
    </w:p>
    <w:p>
      <w:pPr>
        <w:pStyle w:val="2"/>
        <w:spacing w:before="0" w:after="0" w:line="360" w:lineRule="auto"/>
        <w:rPr>
          <w:rFonts w:ascii="宋体" w:hAnsi="宋体" w:eastAsia="宋体"/>
          <w:sz w:val="24"/>
          <w:szCs w:val="24"/>
        </w:rPr>
      </w:pPr>
      <w:bookmarkStart w:id="4" w:name="_Toc49193524"/>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评价组织</w:t>
      </w:r>
      <w:bookmarkEnd w:id="4"/>
    </w:p>
    <w:p>
      <w:pPr>
        <w:pStyle w:val="3"/>
        <w:spacing w:before="0" w:after="0" w:line="360" w:lineRule="auto"/>
        <w:rPr>
          <w:rFonts w:ascii="宋体" w:hAnsi="宋体" w:eastAsia="宋体"/>
          <w:sz w:val="24"/>
          <w:szCs w:val="24"/>
        </w:rPr>
      </w:pPr>
      <w:bookmarkStart w:id="5" w:name="_Toc49193525"/>
      <w:r>
        <w:rPr>
          <w:rFonts w:hint="eastAsia" w:ascii="宋体" w:hAnsi="宋体" w:eastAsia="宋体"/>
          <w:sz w:val="24"/>
          <w:szCs w:val="24"/>
        </w:rPr>
        <w:t>4.</w:t>
      </w:r>
      <w:r>
        <w:rPr>
          <w:rFonts w:ascii="宋体" w:hAnsi="宋体" w:eastAsia="宋体"/>
          <w:sz w:val="24"/>
          <w:szCs w:val="24"/>
        </w:rPr>
        <w:t xml:space="preserve">1 </w:t>
      </w:r>
      <w:r>
        <w:rPr>
          <w:rFonts w:hint="eastAsia" w:ascii="宋体" w:hAnsi="宋体" w:eastAsia="宋体"/>
          <w:sz w:val="24"/>
          <w:szCs w:val="24"/>
        </w:rPr>
        <w:t>总则</w:t>
      </w:r>
      <w:bookmarkEnd w:id="5"/>
    </w:p>
    <w:p>
      <w:pPr>
        <w:spacing w:line="360" w:lineRule="auto"/>
        <w:ind w:firstLine="480" w:firstLineChars="200"/>
        <w:rPr>
          <w:rFonts w:ascii="宋体" w:hAnsi="宋体" w:eastAsia="宋体"/>
          <w:sz w:val="24"/>
          <w:szCs w:val="24"/>
        </w:rPr>
      </w:pPr>
      <w:r>
        <w:rPr>
          <w:rFonts w:hint="eastAsia" w:ascii="宋体" w:hAnsi="宋体" w:eastAsia="宋体"/>
          <w:sz w:val="24"/>
          <w:szCs w:val="24"/>
        </w:rPr>
        <w:t>广州品牌评价组织体系包括第三方非盈利的广州品牌评价工作委员会（以下简称评价工作委员会）、广州品牌评价专家委员会（以下简称评价专家委员会），以及由评价工作委员会委托的评价机构及评价人员。</w:t>
      </w:r>
    </w:p>
    <w:p>
      <w:pPr>
        <w:pStyle w:val="3"/>
        <w:spacing w:before="0" w:after="0" w:line="360" w:lineRule="auto"/>
        <w:rPr>
          <w:rFonts w:ascii="宋体" w:hAnsi="宋体" w:eastAsia="宋体"/>
          <w:sz w:val="24"/>
          <w:szCs w:val="24"/>
        </w:rPr>
      </w:pPr>
      <w:bookmarkStart w:id="6" w:name="_Toc49193526"/>
      <w:r>
        <w:rPr>
          <w:rFonts w:hint="eastAsia" w:ascii="宋体" w:hAnsi="宋体" w:eastAsia="宋体"/>
          <w:sz w:val="24"/>
          <w:szCs w:val="24"/>
        </w:rPr>
        <w:t>4.</w:t>
      </w:r>
      <w:r>
        <w:rPr>
          <w:rFonts w:ascii="宋体" w:hAnsi="宋体" w:eastAsia="宋体"/>
          <w:sz w:val="24"/>
          <w:szCs w:val="24"/>
        </w:rPr>
        <w:t xml:space="preserve">2 </w:t>
      </w:r>
      <w:r>
        <w:rPr>
          <w:rFonts w:hint="eastAsia" w:ascii="宋体" w:hAnsi="宋体" w:eastAsia="宋体"/>
          <w:sz w:val="24"/>
          <w:szCs w:val="24"/>
        </w:rPr>
        <w:t>评价工作委员会</w:t>
      </w:r>
      <w:bookmarkEnd w:id="6"/>
    </w:p>
    <w:p>
      <w:pPr>
        <w:spacing w:line="360" w:lineRule="auto"/>
        <w:ind w:firstLine="480" w:firstLineChars="200"/>
        <w:rPr>
          <w:rFonts w:ascii="宋体" w:hAnsi="宋体" w:eastAsia="宋体"/>
          <w:sz w:val="24"/>
          <w:szCs w:val="24"/>
        </w:rPr>
      </w:pPr>
      <w:r>
        <w:rPr>
          <w:rFonts w:hint="eastAsia" w:ascii="宋体" w:hAnsi="宋体" w:eastAsia="宋体"/>
          <w:sz w:val="24"/>
          <w:szCs w:val="24"/>
        </w:rPr>
        <w:t>评价工作委员会由广州市国资国企创新战略联盟、会员企业、具备广州品牌评价资格的第三方认证机构组成，全面负责管理、协调广州品牌评价工作，制定完善的评价工作细则、流程和方法，受理广州品牌评价申请，监督评价机构和评价人员，以及其他相关工作。</w:t>
      </w:r>
    </w:p>
    <w:p>
      <w:pPr>
        <w:pStyle w:val="3"/>
        <w:spacing w:before="0" w:after="0" w:line="360" w:lineRule="auto"/>
        <w:rPr>
          <w:rFonts w:ascii="宋体" w:hAnsi="宋体" w:eastAsia="宋体"/>
          <w:sz w:val="24"/>
          <w:szCs w:val="24"/>
        </w:rPr>
      </w:pPr>
      <w:bookmarkStart w:id="7" w:name="_Toc49193527"/>
      <w:r>
        <w:rPr>
          <w:rFonts w:hint="eastAsia" w:ascii="宋体" w:hAnsi="宋体" w:eastAsia="宋体"/>
          <w:sz w:val="24"/>
          <w:szCs w:val="24"/>
        </w:rPr>
        <w:t>4.</w:t>
      </w:r>
      <w:r>
        <w:rPr>
          <w:rFonts w:ascii="宋体" w:hAnsi="宋体" w:eastAsia="宋体"/>
          <w:sz w:val="24"/>
          <w:szCs w:val="24"/>
        </w:rPr>
        <w:t xml:space="preserve">3 </w:t>
      </w:r>
      <w:r>
        <w:rPr>
          <w:rFonts w:hint="eastAsia" w:ascii="宋体" w:hAnsi="宋体" w:eastAsia="宋体"/>
          <w:sz w:val="24"/>
          <w:szCs w:val="24"/>
        </w:rPr>
        <w:t>评价专家委员会</w:t>
      </w:r>
      <w:bookmarkEnd w:id="7"/>
    </w:p>
    <w:p>
      <w:pPr>
        <w:spacing w:line="360" w:lineRule="auto"/>
        <w:ind w:firstLine="480" w:firstLineChars="200"/>
        <w:rPr>
          <w:rFonts w:ascii="宋体" w:hAnsi="宋体" w:eastAsia="宋体"/>
          <w:sz w:val="24"/>
          <w:szCs w:val="24"/>
        </w:rPr>
      </w:pPr>
      <w:r>
        <w:rPr>
          <w:rFonts w:hint="eastAsia" w:ascii="宋体" w:hAnsi="宋体" w:eastAsia="宋体"/>
          <w:sz w:val="24"/>
          <w:szCs w:val="24"/>
        </w:rPr>
        <w:t>评价专家委员会对广州品牌评价工作提供指导和咨询，负责广州品牌评价申请的评定、评价实施的监督，以及评价抽查、复核、投诉和举报处理等相关工作，作出专家结论。</w:t>
      </w:r>
    </w:p>
    <w:p>
      <w:pPr>
        <w:pStyle w:val="3"/>
        <w:spacing w:before="0" w:after="0" w:line="360" w:lineRule="auto"/>
        <w:rPr>
          <w:rFonts w:ascii="宋体" w:hAnsi="宋体" w:eastAsia="宋体"/>
          <w:sz w:val="24"/>
          <w:szCs w:val="24"/>
        </w:rPr>
      </w:pPr>
      <w:bookmarkStart w:id="8" w:name="_Toc49193528"/>
      <w:r>
        <w:rPr>
          <w:rFonts w:hint="eastAsia" w:ascii="宋体" w:hAnsi="宋体" w:eastAsia="宋体"/>
          <w:sz w:val="24"/>
          <w:szCs w:val="24"/>
        </w:rPr>
        <w:t>4.</w:t>
      </w:r>
      <w:r>
        <w:rPr>
          <w:rFonts w:ascii="宋体" w:hAnsi="宋体" w:eastAsia="宋体"/>
          <w:sz w:val="24"/>
          <w:szCs w:val="24"/>
        </w:rPr>
        <w:t xml:space="preserve">4 </w:t>
      </w:r>
      <w:r>
        <w:rPr>
          <w:rFonts w:hint="eastAsia" w:ascii="宋体" w:hAnsi="宋体" w:eastAsia="宋体"/>
          <w:sz w:val="24"/>
          <w:szCs w:val="24"/>
        </w:rPr>
        <w:t>评价机构</w:t>
      </w:r>
      <w:bookmarkEnd w:id="8"/>
    </w:p>
    <w:p>
      <w:pPr>
        <w:spacing w:line="360" w:lineRule="auto"/>
        <w:ind w:firstLine="480" w:firstLineChars="200"/>
        <w:rPr>
          <w:rFonts w:ascii="宋体" w:hAnsi="宋体" w:eastAsia="宋体"/>
          <w:sz w:val="24"/>
          <w:szCs w:val="24"/>
        </w:rPr>
      </w:pPr>
      <w:r>
        <w:rPr>
          <w:rFonts w:hint="eastAsia" w:ascii="宋体" w:hAnsi="宋体" w:eastAsia="宋体"/>
          <w:sz w:val="24"/>
          <w:szCs w:val="24"/>
        </w:rPr>
        <w:t>评价机构，即能够开展品牌认证的第三方认证机构，由评价工作委员会委托从事广州品牌评价活动。评价机构的基本条件如下：</w:t>
      </w:r>
    </w:p>
    <w:p>
      <w:pPr>
        <w:spacing w:line="360" w:lineRule="auto"/>
        <w:ind w:firstLine="480" w:firstLineChars="200"/>
        <w:rPr>
          <w:rFonts w:ascii="宋体" w:hAnsi="宋体" w:eastAsia="宋体"/>
          <w:sz w:val="24"/>
          <w:szCs w:val="24"/>
        </w:rPr>
      </w:pPr>
      <w:r>
        <w:rPr>
          <w:rFonts w:ascii="宋体" w:hAnsi="宋体" w:eastAsia="宋体"/>
          <w:sz w:val="24"/>
          <w:szCs w:val="24"/>
        </w:rPr>
        <w:t>a）具有独立法人资格，在中国境内登记注册；</w:t>
      </w:r>
    </w:p>
    <w:p>
      <w:pPr>
        <w:spacing w:line="360" w:lineRule="auto"/>
        <w:ind w:firstLine="480" w:firstLineChars="200"/>
        <w:rPr>
          <w:rFonts w:ascii="宋体" w:hAnsi="宋体" w:eastAsia="宋体"/>
          <w:sz w:val="24"/>
          <w:szCs w:val="24"/>
        </w:rPr>
      </w:pPr>
      <w:r>
        <w:rPr>
          <w:rFonts w:ascii="宋体" w:hAnsi="宋体" w:eastAsia="宋体"/>
          <w:sz w:val="24"/>
          <w:szCs w:val="24"/>
        </w:rPr>
        <w:t>b）经国家认证认可监督管理委员会批准，</w:t>
      </w:r>
      <w:r>
        <w:rPr>
          <w:rFonts w:hint="eastAsia" w:ascii="宋体" w:hAnsi="宋体" w:eastAsia="宋体"/>
          <w:sz w:val="24"/>
          <w:szCs w:val="24"/>
        </w:rPr>
        <w:t>具备有效的认证资质</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c）具备有效的商业企业品牌评价、品牌价值评价认证资格；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d）已备案依据</w:t>
      </w:r>
      <w:r>
        <w:rPr>
          <w:rFonts w:ascii="宋体" w:hAnsi="宋体" w:eastAsia="宋体"/>
          <w:sz w:val="24"/>
          <w:szCs w:val="24"/>
        </w:rPr>
        <w:t>GB/T 27925</w:t>
      </w:r>
      <w:r>
        <w:rPr>
          <w:rFonts w:hint="eastAsia" w:ascii="宋体" w:hAnsi="宋体" w:eastAsia="宋体"/>
          <w:sz w:val="24"/>
          <w:szCs w:val="24"/>
        </w:rPr>
        <w:t>-</w:t>
      </w:r>
      <w:r>
        <w:rPr>
          <w:rFonts w:ascii="宋体" w:hAnsi="宋体" w:eastAsia="宋体"/>
          <w:sz w:val="24"/>
          <w:szCs w:val="24"/>
        </w:rPr>
        <w:t>2011</w:t>
      </w:r>
      <w:r>
        <w:rPr>
          <w:rFonts w:hint="eastAsia" w:ascii="宋体" w:hAnsi="宋体" w:eastAsia="宋体"/>
          <w:sz w:val="24"/>
          <w:szCs w:val="24"/>
        </w:rPr>
        <w:t>、T/</w:t>
      </w:r>
      <w:r>
        <w:rPr>
          <w:rFonts w:ascii="宋体" w:hAnsi="宋体" w:eastAsia="宋体"/>
          <w:sz w:val="24"/>
          <w:szCs w:val="24"/>
        </w:rPr>
        <w:t>GZCXLM 001</w:t>
      </w:r>
      <w:r>
        <w:rPr>
          <w:rFonts w:hint="eastAsia" w:ascii="宋体" w:hAnsi="宋体" w:eastAsia="宋体"/>
          <w:sz w:val="24"/>
          <w:szCs w:val="24"/>
        </w:rPr>
        <w:t>编制的广州品牌评价实施规则；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e）有1</w:t>
      </w:r>
      <w:r>
        <w:rPr>
          <w:rFonts w:ascii="宋体" w:hAnsi="宋体" w:eastAsia="宋体"/>
          <w:sz w:val="24"/>
          <w:szCs w:val="24"/>
        </w:rPr>
        <w:t>0</w:t>
      </w:r>
      <w:r>
        <w:rPr>
          <w:rFonts w:hint="eastAsia" w:ascii="宋体" w:hAnsi="宋体" w:eastAsia="宋体"/>
          <w:sz w:val="24"/>
          <w:szCs w:val="24"/>
        </w:rPr>
        <w:t>名（含）以上具备实施广州品牌评价能力的专职服务认证审查员。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f</w:t>
      </w:r>
      <w:r>
        <w:rPr>
          <w:rFonts w:ascii="宋体" w:hAnsi="宋体" w:eastAsia="宋体"/>
          <w:sz w:val="24"/>
          <w:szCs w:val="24"/>
        </w:rPr>
        <w:t>）近2年内不存在被国家认证认可监督管理委员会、地方认证监管部门因认证违规行为而受到行</w:t>
      </w:r>
      <w:r>
        <w:rPr>
          <w:rFonts w:hint="eastAsia" w:ascii="宋体" w:hAnsi="宋体" w:eastAsia="宋体"/>
          <w:sz w:val="24"/>
          <w:szCs w:val="24"/>
        </w:rPr>
        <w:t>政处罚、行政告诫、限期整改等情况。</w:t>
      </w:r>
    </w:p>
    <w:p>
      <w:pPr>
        <w:pStyle w:val="3"/>
        <w:spacing w:before="0" w:after="0" w:line="360" w:lineRule="auto"/>
        <w:rPr>
          <w:rFonts w:ascii="宋体" w:hAnsi="宋体" w:eastAsia="宋体"/>
          <w:sz w:val="24"/>
          <w:szCs w:val="24"/>
        </w:rPr>
      </w:pPr>
      <w:bookmarkStart w:id="9" w:name="_Toc49193529"/>
      <w:r>
        <w:rPr>
          <w:rFonts w:hint="eastAsia" w:ascii="宋体" w:hAnsi="宋体" w:eastAsia="宋体"/>
          <w:sz w:val="24"/>
          <w:szCs w:val="24"/>
        </w:rPr>
        <w:t>4.</w:t>
      </w:r>
      <w:r>
        <w:rPr>
          <w:rFonts w:ascii="宋体" w:hAnsi="宋体" w:eastAsia="宋体"/>
          <w:sz w:val="24"/>
          <w:szCs w:val="24"/>
        </w:rPr>
        <w:t xml:space="preserve">5 </w:t>
      </w:r>
      <w:r>
        <w:rPr>
          <w:rFonts w:hint="eastAsia" w:ascii="宋体" w:hAnsi="宋体" w:eastAsia="宋体"/>
          <w:sz w:val="24"/>
          <w:szCs w:val="24"/>
        </w:rPr>
        <w:t>评价人员</w:t>
      </w:r>
      <w:bookmarkEnd w:id="9"/>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 xml:space="preserve">1 </w:t>
      </w:r>
      <w:r>
        <w:rPr>
          <w:rFonts w:hint="eastAsia" w:ascii="宋体" w:hAnsi="宋体" w:eastAsia="宋体"/>
          <w:sz w:val="24"/>
          <w:szCs w:val="24"/>
        </w:rPr>
        <w:t>评价人员，即第三方认证机构的服务认证审查员，应经中国认证认可协会（C</w:t>
      </w:r>
      <w:r>
        <w:rPr>
          <w:rFonts w:ascii="宋体" w:hAnsi="宋体" w:eastAsia="宋体"/>
          <w:sz w:val="24"/>
          <w:szCs w:val="24"/>
        </w:rPr>
        <w:t>CAA</w:t>
      </w:r>
      <w:r>
        <w:rPr>
          <w:rFonts w:hint="eastAsia" w:ascii="宋体" w:hAnsi="宋体" w:eastAsia="宋体"/>
          <w:sz w:val="24"/>
          <w:szCs w:val="24"/>
        </w:rPr>
        <w:t>）注册，具备商业企业品牌评价资格且处于有效。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评价人员应遵守相关的法律法规和被评价组织的规章制度，严守国家秘密和商业秘密，承担相应的法律责任。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 xml:space="preserve">3 </w:t>
      </w:r>
      <w:r>
        <w:rPr>
          <w:rFonts w:hint="eastAsia" w:ascii="宋体" w:hAnsi="宋体" w:eastAsia="宋体"/>
          <w:sz w:val="24"/>
          <w:szCs w:val="24"/>
        </w:rPr>
        <w:t>评价人员按照所执业认证机构确定的工作程序和作业指导从事评价活动，对评价审查报告的真实性承担相应责任。</w:t>
      </w:r>
    </w:p>
    <w:p>
      <w:pPr>
        <w:pStyle w:val="2"/>
        <w:spacing w:before="0" w:after="0" w:line="360" w:lineRule="auto"/>
        <w:rPr>
          <w:rFonts w:ascii="宋体" w:hAnsi="宋体" w:eastAsia="宋体"/>
          <w:sz w:val="24"/>
          <w:szCs w:val="24"/>
        </w:rPr>
      </w:pPr>
      <w:bookmarkStart w:id="10" w:name="_Toc49193530"/>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评价程序</w:t>
      </w:r>
      <w:bookmarkEnd w:id="10"/>
    </w:p>
    <w:p>
      <w:pPr>
        <w:pStyle w:val="3"/>
        <w:spacing w:before="0" w:after="0" w:line="360" w:lineRule="auto"/>
        <w:rPr>
          <w:rFonts w:ascii="宋体" w:hAnsi="宋体" w:eastAsia="宋体"/>
          <w:sz w:val="24"/>
          <w:szCs w:val="24"/>
        </w:rPr>
      </w:pPr>
      <w:bookmarkStart w:id="11" w:name="_Toc49193531"/>
      <w:r>
        <w:rPr>
          <w:rFonts w:hint="eastAsia" w:ascii="宋体" w:hAnsi="宋体" w:eastAsia="宋体"/>
          <w:sz w:val="24"/>
          <w:szCs w:val="24"/>
        </w:rPr>
        <w:t>5.</w:t>
      </w:r>
      <w:r>
        <w:rPr>
          <w:rFonts w:ascii="宋体" w:hAnsi="宋体" w:eastAsia="宋体"/>
          <w:sz w:val="24"/>
          <w:szCs w:val="24"/>
        </w:rPr>
        <w:t xml:space="preserve">1 </w:t>
      </w:r>
      <w:r>
        <w:rPr>
          <w:rFonts w:hint="eastAsia" w:ascii="宋体" w:hAnsi="宋体" w:eastAsia="宋体"/>
          <w:sz w:val="24"/>
          <w:szCs w:val="24"/>
        </w:rPr>
        <w:t>概述</w:t>
      </w:r>
      <w:bookmarkEnd w:id="11"/>
    </w:p>
    <w:p>
      <w:pPr>
        <w:spacing w:line="360" w:lineRule="auto"/>
        <w:ind w:firstLine="480" w:firstLineChars="200"/>
        <w:rPr>
          <w:rFonts w:ascii="宋体" w:hAnsi="宋体" w:eastAsia="宋体"/>
          <w:sz w:val="24"/>
          <w:szCs w:val="24"/>
        </w:rPr>
      </w:pPr>
      <w:r>
        <w:rPr>
          <w:rFonts w:hint="eastAsia" w:ascii="宋体" w:hAnsi="宋体" w:eastAsia="宋体"/>
          <w:sz w:val="24"/>
          <w:szCs w:val="24"/>
        </w:rPr>
        <w:t>评价程序规定了广州品牌评价实施的流程，包括评价申请、申请评审、评价实施、证书和标志、品牌升级等。广州品牌评价实施的流程如图5.</w:t>
      </w:r>
      <w:r>
        <w:rPr>
          <w:rFonts w:ascii="宋体" w:hAnsi="宋体" w:eastAsia="宋体"/>
          <w:sz w:val="24"/>
          <w:szCs w:val="24"/>
        </w:rPr>
        <w:t>1</w:t>
      </w:r>
      <w:r>
        <w:rPr>
          <w:rFonts w:hint="eastAsia" w:ascii="宋体" w:hAnsi="宋体" w:eastAsia="宋体"/>
          <w:sz w:val="24"/>
          <w:szCs w:val="24"/>
        </w:rPr>
        <w:t>所示：</w:t>
      </w:r>
    </w:p>
    <w:p>
      <w:pPr>
        <w:spacing w:line="360" w:lineRule="auto"/>
        <w:jc w:val="center"/>
        <w:rPr>
          <w:rFonts w:ascii="宋体" w:hAnsi="宋体" w:eastAsia="宋体"/>
          <w:sz w:val="24"/>
          <w:szCs w:val="24"/>
        </w:rPr>
      </w:pPr>
      <w:r>
        <w:drawing>
          <wp:inline distT="0" distB="0" distL="0" distR="0">
            <wp:extent cx="4587240" cy="5310505"/>
            <wp:effectExtent l="0" t="0" r="381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595805" cy="5320502"/>
                    </a:xfrm>
                    <a:prstGeom prst="rect">
                      <a:avLst/>
                    </a:prstGeom>
                  </pic:spPr>
                </pic:pic>
              </a:graphicData>
            </a:graphic>
          </wp:inline>
        </w:drawing>
      </w:r>
    </w:p>
    <w:p>
      <w:pPr>
        <w:spacing w:line="360" w:lineRule="auto"/>
        <w:jc w:val="center"/>
        <w:rPr>
          <w:rFonts w:ascii="宋体" w:hAnsi="宋体" w:eastAsia="宋体"/>
          <w:sz w:val="24"/>
          <w:szCs w:val="24"/>
        </w:rPr>
      </w:pPr>
      <w:r>
        <w:rPr>
          <w:rFonts w:hint="eastAsia" w:ascii="宋体" w:hAnsi="宋体" w:eastAsia="宋体"/>
          <w:sz w:val="24"/>
          <w:szCs w:val="24"/>
        </w:rPr>
        <w:t>图5.</w:t>
      </w:r>
      <w:r>
        <w:rPr>
          <w:rFonts w:ascii="宋体" w:hAnsi="宋体" w:eastAsia="宋体"/>
          <w:sz w:val="24"/>
          <w:szCs w:val="24"/>
        </w:rPr>
        <w:t xml:space="preserve">1 </w:t>
      </w:r>
      <w:r>
        <w:rPr>
          <w:rFonts w:hint="eastAsia" w:ascii="宋体" w:hAnsi="宋体" w:eastAsia="宋体"/>
          <w:sz w:val="24"/>
          <w:szCs w:val="24"/>
        </w:rPr>
        <w:t>广州品牌评价实施流程</w:t>
      </w:r>
    </w:p>
    <w:p>
      <w:pPr>
        <w:pStyle w:val="3"/>
        <w:spacing w:before="0" w:after="0" w:line="360" w:lineRule="auto"/>
        <w:rPr>
          <w:rFonts w:ascii="宋体" w:hAnsi="宋体" w:eastAsia="宋体"/>
          <w:sz w:val="24"/>
          <w:szCs w:val="24"/>
        </w:rPr>
      </w:pPr>
      <w:bookmarkStart w:id="12" w:name="_Toc49193532"/>
      <w:r>
        <w:rPr>
          <w:rFonts w:ascii="宋体" w:hAnsi="宋体" w:eastAsia="宋体"/>
          <w:sz w:val="24"/>
          <w:szCs w:val="24"/>
        </w:rPr>
        <w:t xml:space="preserve">5.2 </w:t>
      </w:r>
      <w:r>
        <w:rPr>
          <w:rFonts w:hint="eastAsia" w:ascii="宋体" w:hAnsi="宋体" w:eastAsia="宋体"/>
          <w:sz w:val="24"/>
          <w:szCs w:val="24"/>
        </w:rPr>
        <w:t>评价申请</w:t>
      </w:r>
      <w:bookmarkEnd w:id="12"/>
    </w:p>
    <w:p>
      <w:pPr>
        <w:spacing w:line="360" w:lineRule="auto"/>
        <w:ind w:firstLine="480" w:firstLineChars="200"/>
        <w:rPr>
          <w:rFonts w:ascii="宋体" w:hAnsi="宋体" w:eastAsia="宋体"/>
          <w:sz w:val="24"/>
          <w:szCs w:val="24"/>
        </w:rPr>
      </w:pPr>
      <w:r>
        <w:rPr>
          <w:rFonts w:hint="eastAsia" w:ascii="宋体" w:hAnsi="宋体" w:eastAsia="宋体"/>
          <w:sz w:val="24"/>
          <w:szCs w:val="24"/>
        </w:rPr>
        <w:t>申请广州品牌评价的组织需满足以下基本条件：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1）具有合法的法律地位或授权；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2）从业条件中，有行政许可要求的，应取得相应资格并在有效期内；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（3）一年内未发生过重大质量/环境/安全事故</w:t>
      </w:r>
      <w:r>
        <w:rPr>
          <w:rFonts w:ascii="宋体" w:hAnsi="宋体" w:eastAsia="宋体"/>
          <w:sz w:val="24"/>
          <w:szCs w:val="24"/>
        </w:rPr>
        <w:t>、重大投诉及违法事件往年事故、重大投诉及事件已处理完结；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产品、</w:t>
      </w:r>
      <w:r>
        <w:rPr>
          <w:rFonts w:ascii="宋体" w:hAnsi="宋体" w:eastAsia="宋体"/>
          <w:sz w:val="24"/>
          <w:szCs w:val="24"/>
        </w:rPr>
        <w:t>服务及其过程，均符合国家相关法律法规和标准要求；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未发生被执法监管部门责令停业整顿或在全国企业信用信息公示系统中被“列入严重违法失信企业名单”等情况；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品牌评价和企业文化建设过程中，依据标准开展了自我评价；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7）申请</w:t>
      </w:r>
      <w:r>
        <w:rPr>
          <w:rFonts w:hint="eastAsia" w:ascii="宋体" w:hAnsi="宋体" w:eastAsia="宋体"/>
          <w:sz w:val="24"/>
          <w:szCs w:val="24"/>
        </w:rPr>
        <w:t>评价</w:t>
      </w:r>
      <w:r>
        <w:rPr>
          <w:rFonts w:ascii="宋体" w:hAnsi="宋体" w:eastAsia="宋体"/>
          <w:sz w:val="24"/>
          <w:szCs w:val="24"/>
        </w:rPr>
        <w:t>依据的标准和相关规范性文件要求的条件。</w:t>
      </w:r>
    </w:p>
    <w:p>
      <w:pPr>
        <w:pStyle w:val="3"/>
        <w:spacing w:before="0" w:after="0" w:line="360" w:lineRule="auto"/>
        <w:rPr>
          <w:rFonts w:ascii="宋体" w:hAnsi="宋体" w:eastAsia="宋体"/>
          <w:sz w:val="24"/>
          <w:szCs w:val="24"/>
        </w:rPr>
      </w:pPr>
      <w:bookmarkStart w:id="13" w:name="_Toc49193533"/>
      <w:r>
        <w:rPr>
          <w:rFonts w:ascii="宋体" w:hAnsi="宋体" w:eastAsia="宋体"/>
          <w:sz w:val="24"/>
          <w:szCs w:val="24"/>
        </w:rPr>
        <w:t xml:space="preserve">5.3 </w:t>
      </w:r>
      <w:r>
        <w:rPr>
          <w:rFonts w:hint="eastAsia" w:ascii="宋体" w:hAnsi="宋体" w:eastAsia="宋体"/>
          <w:sz w:val="24"/>
          <w:szCs w:val="24"/>
        </w:rPr>
        <w:t>申请评审</w:t>
      </w:r>
      <w:bookmarkEnd w:id="13"/>
    </w:p>
    <w:p>
      <w:pPr>
        <w:spacing w:line="360" w:lineRule="auto"/>
        <w:ind w:firstLine="480" w:firstLineChars="200"/>
        <w:rPr>
          <w:rFonts w:ascii="宋体" w:hAnsi="宋体" w:eastAsia="宋体"/>
          <w:sz w:val="24"/>
          <w:szCs w:val="24"/>
        </w:rPr>
      </w:pPr>
      <w:r>
        <w:rPr>
          <w:rFonts w:hint="eastAsia" w:ascii="宋体" w:hAnsi="宋体" w:eastAsia="宋体"/>
          <w:sz w:val="24"/>
          <w:szCs w:val="24"/>
        </w:rPr>
        <w:t>5.3.</w:t>
      </w:r>
      <w:r>
        <w:rPr>
          <w:rFonts w:ascii="宋体" w:hAnsi="宋体" w:eastAsia="宋体"/>
          <w:sz w:val="24"/>
          <w:szCs w:val="24"/>
        </w:rPr>
        <w:t xml:space="preserve">1 </w:t>
      </w:r>
      <w:r>
        <w:rPr>
          <w:rFonts w:hint="eastAsia" w:ascii="宋体" w:hAnsi="宋体" w:eastAsia="宋体"/>
          <w:sz w:val="24"/>
          <w:szCs w:val="24"/>
        </w:rPr>
        <w:t>评价工作委员会对组织提交的广州品牌评价申请进行评审，评价专家委员会负责对组织提交的评价申请材料的具体审定工作，包括但不限于组织的资质、组织品牌的自我评价情况，并作出专家审定结论。</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评定工作委员会根据评价专家委员会审定的结论，明确是否受理组织申请，并通知申请组织。</w:t>
      </w:r>
    </w:p>
    <w:p>
      <w:pPr>
        <w:pStyle w:val="3"/>
        <w:spacing w:before="0" w:after="0" w:line="360" w:lineRule="auto"/>
        <w:rPr>
          <w:rFonts w:ascii="宋体" w:hAnsi="宋体" w:eastAsia="宋体"/>
          <w:sz w:val="24"/>
          <w:szCs w:val="24"/>
        </w:rPr>
      </w:pPr>
      <w:bookmarkStart w:id="14" w:name="_Toc49193534"/>
      <w:r>
        <w:rPr>
          <w:rFonts w:ascii="宋体" w:hAnsi="宋体" w:eastAsia="宋体"/>
          <w:sz w:val="24"/>
          <w:szCs w:val="24"/>
        </w:rPr>
        <w:t xml:space="preserve">5.4 </w:t>
      </w:r>
      <w:r>
        <w:rPr>
          <w:rFonts w:hint="eastAsia" w:ascii="宋体" w:hAnsi="宋体" w:eastAsia="宋体"/>
          <w:sz w:val="24"/>
          <w:szCs w:val="24"/>
        </w:rPr>
        <w:t>评价实施</w:t>
      </w:r>
      <w:bookmarkEnd w:id="14"/>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 xml:space="preserve">1 </w:t>
      </w:r>
      <w:r>
        <w:rPr>
          <w:rFonts w:hint="eastAsia" w:ascii="宋体" w:hAnsi="宋体" w:eastAsia="宋体"/>
          <w:sz w:val="24"/>
          <w:szCs w:val="24"/>
        </w:rPr>
        <w:t>评价实施，是评价机构依据向国家认证认可监督管理委员会备案的广州品牌评价实施规则，开展的品牌评价活动，由评价机构委派评价人员具体实施。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评价工作委员会对评价实施过程监督，适时可开展抽查活动。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 xml:space="preserve">3 </w:t>
      </w:r>
      <w:r>
        <w:rPr>
          <w:rFonts w:hint="eastAsia" w:ascii="宋体" w:hAnsi="宋体" w:eastAsia="宋体"/>
          <w:sz w:val="24"/>
          <w:szCs w:val="24"/>
        </w:rPr>
        <w:t>评价实施是一项品牌认证活动，受到市场监督管理部门的监管。</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 xml:space="preserve">4 </w:t>
      </w:r>
      <w:r>
        <w:rPr>
          <w:rFonts w:hint="eastAsia" w:ascii="宋体" w:hAnsi="宋体" w:eastAsia="宋体"/>
          <w:sz w:val="24"/>
          <w:szCs w:val="24"/>
        </w:rPr>
        <w:t>经评价对结果达到标准规定分值的申请组织，确定品牌评价等级，决定给予认证注册并颁发品牌认证证书和审查报告。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 xml:space="preserve">5 </w:t>
      </w:r>
      <w:r>
        <w:rPr>
          <w:rFonts w:hint="eastAsia" w:ascii="宋体" w:hAnsi="宋体" w:eastAsia="宋体"/>
          <w:sz w:val="24"/>
          <w:szCs w:val="24"/>
        </w:rPr>
        <w:t>为确保获证组织持续满足广州品牌评价要求，在证书有效期内应至少进行2次监督评价，初次获证后的第一次监督应在认证决定之日起1</w:t>
      </w:r>
      <w:r>
        <w:rPr>
          <w:rFonts w:ascii="宋体" w:hAnsi="宋体" w:eastAsia="宋体"/>
          <w:sz w:val="24"/>
          <w:szCs w:val="24"/>
        </w:rPr>
        <w:t>2</w:t>
      </w:r>
      <w:r>
        <w:rPr>
          <w:rFonts w:hint="eastAsia" w:ascii="宋体" w:hAnsi="宋体" w:eastAsia="宋体"/>
          <w:sz w:val="24"/>
          <w:szCs w:val="24"/>
        </w:rPr>
        <w:t>个月内进行，监督应至少每个日历年</w:t>
      </w:r>
      <w:r>
        <w:rPr>
          <w:rFonts w:ascii="宋体" w:hAnsi="宋体" w:eastAsia="宋体"/>
          <w:sz w:val="24"/>
          <w:szCs w:val="24"/>
        </w:rPr>
        <w:t>(应进行</w:t>
      </w:r>
      <w:r>
        <w:rPr>
          <w:rFonts w:hint="eastAsia" w:ascii="宋体" w:hAnsi="宋体" w:eastAsia="宋体"/>
          <w:sz w:val="24"/>
          <w:szCs w:val="24"/>
        </w:rPr>
        <w:t>复评的年份除外</w:t>
      </w:r>
      <w:r>
        <w:rPr>
          <w:rFonts w:ascii="宋体" w:hAnsi="宋体" w:eastAsia="宋体"/>
          <w:sz w:val="24"/>
          <w:szCs w:val="24"/>
        </w:rPr>
        <w:t>)进行一次，且两次监督的时间间隔不能超过15个月</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5.4.6 </w:t>
      </w:r>
      <w:r>
        <w:rPr>
          <w:rFonts w:hint="eastAsia" w:ascii="宋体" w:hAnsi="宋体" w:eastAsia="宋体"/>
          <w:sz w:val="24"/>
          <w:szCs w:val="24"/>
        </w:rPr>
        <w:t>监督评价、复评的程序及要求与初次评价基本相同，并根据评价结果动态调整品牌评价等级：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a）评价等级高于获证级别时，升为对应星级并换发证书；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b）评价等级达标但低于获证级别时，降为对应星级并换发证书；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c）评价等级不达标时，撤销其证书。</w:t>
      </w:r>
    </w:p>
    <w:p>
      <w:pPr>
        <w:pStyle w:val="3"/>
        <w:spacing w:before="0" w:after="0" w:line="360" w:lineRule="auto"/>
        <w:rPr>
          <w:rFonts w:ascii="宋体" w:hAnsi="宋体" w:eastAsia="宋体"/>
          <w:sz w:val="24"/>
          <w:szCs w:val="24"/>
        </w:rPr>
      </w:pPr>
      <w:bookmarkStart w:id="15" w:name="_Toc49193535"/>
      <w:r>
        <w:rPr>
          <w:rFonts w:ascii="宋体" w:hAnsi="宋体" w:eastAsia="宋体"/>
          <w:sz w:val="24"/>
          <w:szCs w:val="24"/>
        </w:rPr>
        <w:t xml:space="preserve">5.5 </w:t>
      </w:r>
      <w:r>
        <w:rPr>
          <w:rFonts w:hint="eastAsia" w:ascii="宋体" w:hAnsi="宋体" w:eastAsia="宋体"/>
          <w:sz w:val="24"/>
          <w:szCs w:val="24"/>
        </w:rPr>
        <w:t>证书和标志</w:t>
      </w:r>
      <w:bookmarkEnd w:id="15"/>
    </w:p>
    <w:p>
      <w:pPr>
        <w:spacing w:line="360" w:lineRule="auto"/>
        <w:ind w:firstLine="48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 xml:space="preserve">1 </w:t>
      </w:r>
      <w:r>
        <w:rPr>
          <w:rFonts w:hint="eastAsia" w:ascii="宋体" w:hAnsi="宋体" w:eastAsia="宋体"/>
          <w:sz w:val="24"/>
          <w:szCs w:val="24"/>
        </w:rPr>
        <w:t>评价工作委员会许可评价机构在品牌认证证书上使用广州品牌标识，标识的使用范围须与证书中的认证范围相一致，获证组织不得擅自扩大使用范围，不得超等级使用认证标志。</w:t>
      </w:r>
    </w:p>
    <w:p>
      <w:pPr>
        <w:spacing w:line="360" w:lineRule="auto"/>
        <w:ind w:firstLine="48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品牌认证证书的有效期为</w:t>
      </w:r>
      <w:r>
        <w:rPr>
          <w:rFonts w:ascii="宋体" w:hAnsi="宋体" w:eastAsia="宋体"/>
          <w:sz w:val="24"/>
          <w:szCs w:val="24"/>
        </w:rPr>
        <w:t>3</w:t>
      </w:r>
      <w:r>
        <w:rPr>
          <w:rFonts w:hint="eastAsia" w:ascii="宋体" w:hAnsi="宋体" w:eastAsia="宋体"/>
          <w:sz w:val="24"/>
          <w:szCs w:val="24"/>
        </w:rPr>
        <w:t>年。有效期内，品牌认证证书的有效性依据由获证后定期监督结果获得保持。在获证组织的品牌认证资格未保持或无效时，由评价机构撤销其品牌认证证书。</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 xml:space="preserve">3 </w:t>
      </w:r>
      <w:r>
        <w:rPr>
          <w:rFonts w:hint="eastAsia" w:ascii="宋体" w:hAnsi="宋体" w:eastAsia="宋体"/>
          <w:sz w:val="24"/>
          <w:szCs w:val="24"/>
        </w:rPr>
        <w:t>获证组织在发生重大安全事故，或媒体曝光、顾客投诉并造成重大影响等情况时，评价工作委员会立即取消其广州品牌称号，评价机构立即暂停或撤销其品牌认证证书。</w:t>
      </w:r>
    </w:p>
    <w:p>
      <w:pPr>
        <w:spacing w:line="360" w:lineRule="auto"/>
        <w:ind w:firstLine="480"/>
        <w:rPr>
          <w:rFonts w:ascii="宋体" w:hAnsi="宋体" w:eastAsia="宋体"/>
          <w:sz w:val="24"/>
          <w:szCs w:val="24"/>
        </w:rPr>
      </w:pPr>
    </w:p>
    <w:sectPr>
      <w:footerReference r:id="rId7" w:type="first"/>
      <w:pgSz w:w="11906" w:h="16838"/>
      <w:pgMar w:top="1985" w:right="1134" w:bottom="1701" w:left="1134" w:header="1418" w:footer="1418"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570075"/>
      <w:docPartObj>
        <w:docPartGallery w:val="autotext"/>
      </w:docPartObj>
    </w:sdtPr>
    <w:sdtContent>
      <w:p>
        <w:pPr>
          <w:pStyle w:val="8"/>
          <w:jc w:val="right"/>
        </w:pPr>
        <w:r>
          <w:fldChar w:fldCharType="begin"/>
        </w:r>
        <w:r>
          <w:instrText xml:space="preserve">PAGE   \* MERGEFORMAT</w:instrText>
        </w:r>
        <w:r>
          <w:fldChar w:fldCharType="separate"/>
        </w:r>
        <w:r>
          <w:rPr>
            <w:lang w:val="zh-CN"/>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80268"/>
      <w:docPartObj>
        <w:docPartGallery w:val="autotext"/>
      </w:docPartObj>
    </w:sdtPr>
    <w:sdtContent>
      <w:p>
        <w:pPr>
          <w:pStyle w:val="8"/>
        </w:pPr>
        <w:r>
          <w:fldChar w:fldCharType="begin"/>
        </w:r>
        <w:r>
          <w:instrText xml:space="preserve">PAGE   \* MERGEFORMAT</w:instrText>
        </w:r>
        <w:r>
          <w:fldChar w:fldCharType="separate"/>
        </w:r>
        <w:r>
          <w:rPr>
            <w:lang w:val="zh-CN"/>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黑体" w:hAnsi="黑体" w:eastAsia="黑体"/>
      </w:rPr>
      <w:t>T/GZCXLM 001</w:t>
    </w:r>
    <w:r>
      <w:rPr>
        <w:rFonts w:hint="eastAsia" w:ascii="黑体" w:hAnsi="黑体" w:eastAsia="黑体"/>
      </w:rPr>
      <w:t>.</w:t>
    </w:r>
    <w:r>
      <w:rPr>
        <w:rFonts w:ascii="黑体" w:hAnsi="黑体" w:eastAsia="黑体"/>
      </w:rPr>
      <w:t>1-2020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hAnsi="黑体" w:eastAsia="黑体"/>
      </w:rPr>
    </w:pPr>
    <w:r>
      <w:rPr>
        <w:rFonts w:ascii="黑体" w:hAnsi="黑体" w:eastAsia="黑体"/>
      </w:rPr>
      <w:t>T/GZCXLM 001</w:t>
    </w:r>
    <w:r>
      <w:rPr>
        <w:rFonts w:hint="eastAsia" w:ascii="黑体" w:hAnsi="黑体" w:eastAsia="黑体"/>
      </w:rPr>
      <w:t>.</w:t>
    </w:r>
    <w:r>
      <w:rPr>
        <w:rFonts w:ascii="黑体" w:hAnsi="黑体" w:eastAsia="黑体"/>
      </w:rPr>
      <w:t>1-2020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D2"/>
    <w:rsid w:val="00026A54"/>
    <w:rsid w:val="00030FF2"/>
    <w:rsid w:val="000318D8"/>
    <w:rsid w:val="0003274E"/>
    <w:rsid w:val="00034C67"/>
    <w:rsid w:val="00040A56"/>
    <w:rsid w:val="00041FEF"/>
    <w:rsid w:val="00042C4D"/>
    <w:rsid w:val="000600C5"/>
    <w:rsid w:val="00061553"/>
    <w:rsid w:val="00071626"/>
    <w:rsid w:val="000732C3"/>
    <w:rsid w:val="00074E66"/>
    <w:rsid w:val="00082D62"/>
    <w:rsid w:val="00082EDE"/>
    <w:rsid w:val="00085449"/>
    <w:rsid w:val="00085F1D"/>
    <w:rsid w:val="00091B11"/>
    <w:rsid w:val="0009785A"/>
    <w:rsid w:val="000B6235"/>
    <w:rsid w:val="000C30F3"/>
    <w:rsid w:val="000C7325"/>
    <w:rsid w:val="000C7756"/>
    <w:rsid w:val="000C7A78"/>
    <w:rsid w:val="000E0D2B"/>
    <w:rsid w:val="000E1FB9"/>
    <w:rsid w:val="000E4318"/>
    <w:rsid w:val="000E53DC"/>
    <w:rsid w:val="000E5C8E"/>
    <w:rsid w:val="000E632C"/>
    <w:rsid w:val="00100CA8"/>
    <w:rsid w:val="00106BDB"/>
    <w:rsid w:val="001122EF"/>
    <w:rsid w:val="001211B3"/>
    <w:rsid w:val="00123B4E"/>
    <w:rsid w:val="0012531A"/>
    <w:rsid w:val="00127FB3"/>
    <w:rsid w:val="001353E9"/>
    <w:rsid w:val="00143B3B"/>
    <w:rsid w:val="00144135"/>
    <w:rsid w:val="0015797A"/>
    <w:rsid w:val="00163118"/>
    <w:rsid w:val="00165588"/>
    <w:rsid w:val="00167EA8"/>
    <w:rsid w:val="00171BF5"/>
    <w:rsid w:val="001835DA"/>
    <w:rsid w:val="00187275"/>
    <w:rsid w:val="00190088"/>
    <w:rsid w:val="00192A5D"/>
    <w:rsid w:val="00192FB8"/>
    <w:rsid w:val="001933C1"/>
    <w:rsid w:val="0019387C"/>
    <w:rsid w:val="001A45DD"/>
    <w:rsid w:val="001A4CED"/>
    <w:rsid w:val="001A545A"/>
    <w:rsid w:val="001B1B3C"/>
    <w:rsid w:val="001B38ED"/>
    <w:rsid w:val="001B449E"/>
    <w:rsid w:val="001C1E2B"/>
    <w:rsid w:val="001D0151"/>
    <w:rsid w:val="001D7F6E"/>
    <w:rsid w:val="001E0475"/>
    <w:rsid w:val="001E2A17"/>
    <w:rsid w:val="001E4DAB"/>
    <w:rsid w:val="001E79FB"/>
    <w:rsid w:val="001F0DF1"/>
    <w:rsid w:val="001F30BC"/>
    <w:rsid w:val="001F4425"/>
    <w:rsid w:val="002001FD"/>
    <w:rsid w:val="00204E2A"/>
    <w:rsid w:val="00205A88"/>
    <w:rsid w:val="0020660C"/>
    <w:rsid w:val="002077E8"/>
    <w:rsid w:val="00211B28"/>
    <w:rsid w:val="0021286E"/>
    <w:rsid w:val="00213FC5"/>
    <w:rsid w:val="0021506E"/>
    <w:rsid w:val="00216712"/>
    <w:rsid w:val="0022038D"/>
    <w:rsid w:val="00220CA5"/>
    <w:rsid w:val="00222120"/>
    <w:rsid w:val="00231C95"/>
    <w:rsid w:val="00243730"/>
    <w:rsid w:val="002523B5"/>
    <w:rsid w:val="00253232"/>
    <w:rsid w:val="00254010"/>
    <w:rsid w:val="00260731"/>
    <w:rsid w:val="00260D23"/>
    <w:rsid w:val="00261275"/>
    <w:rsid w:val="00263D22"/>
    <w:rsid w:val="002741D1"/>
    <w:rsid w:val="0028506C"/>
    <w:rsid w:val="00290A85"/>
    <w:rsid w:val="00290D19"/>
    <w:rsid w:val="002A0CCB"/>
    <w:rsid w:val="002A12E5"/>
    <w:rsid w:val="002A1865"/>
    <w:rsid w:val="002A3DFF"/>
    <w:rsid w:val="002A4D22"/>
    <w:rsid w:val="002B5BD9"/>
    <w:rsid w:val="002B75F9"/>
    <w:rsid w:val="002B7830"/>
    <w:rsid w:val="002B7BC7"/>
    <w:rsid w:val="002B7F2D"/>
    <w:rsid w:val="002C0C50"/>
    <w:rsid w:val="002C2A8F"/>
    <w:rsid w:val="002C319A"/>
    <w:rsid w:val="002C3B1C"/>
    <w:rsid w:val="002E3A33"/>
    <w:rsid w:val="002E62F8"/>
    <w:rsid w:val="002F27E8"/>
    <w:rsid w:val="002F3877"/>
    <w:rsid w:val="002F5234"/>
    <w:rsid w:val="002F5B25"/>
    <w:rsid w:val="00302AE8"/>
    <w:rsid w:val="00304B5C"/>
    <w:rsid w:val="00304EFD"/>
    <w:rsid w:val="00322554"/>
    <w:rsid w:val="003267E5"/>
    <w:rsid w:val="00327120"/>
    <w:rsid w:val="0032760E"/>
    <w:rsid w:val="00334243"/>
    <w:rsid w:val="003426A0"/>
    <w:rsid w:val="003501B0"/>
    <w:rsid w:val="00353DAB"/>
    <w:rsid w:val="0036362C"/>
    <w:rsid w:val="003704D6"/>
    <w:rsid w:val="003708FC"/>
    <w:rsid w:val="003735A0"/>
    <w:rsid w:val="00385F34"/>
    <w:rsid w:val="00387D43"/>
    <w:rsid w:val="00387DC0"/>
    <w:rsid w:val="00390475"/>
    <w:rsid w:val="003A11A1"/>
    <w:rsid w:val="003A420A"/>
    <w:rsid w:val="003B0709"/>
    <w:rsid w:val="003B4144"/>
    <w:rsid w:val="003B6CC0"/>
    <w:rsid w:val="003C7BEA"/>
    <w:rsid w:val="003D095F"/>
    <w:rsid w:val="003D3B46"/>
    <w:rsid w:val="003D536A"/>
    <w:rsid w:val="003E1777"/>
    <w:rsid w:val="003E2B13"/>
    <w:rsid w:val="003E31FC"/>
    <w:rsid w:val="003F2611"/>
    <w:rsid w:val="003F4BC8"/>
    <w:rsid w:val="003F751C"/>
    <w:rsid w:val="003F7C52"/>
    <w:rsid w:val="00402097"/>
    <w:rsid w:val="004106B0"/>
    <w:rsid w:val="00415B5F"/>
    <w:rsid w:val="004164AB"/>
    <w:rsid w:val="004203C5"/>
    <w:rsid w:val="004229B5"/>
    <w:rsid w:val="00424305"/>
    <w:rsid w:val="00426259"/>
    <w:rsid w:val="004272E1"/>
    <w:rsid w:val="00431B1E"/>
    <w:rsid w:val="004471DE"/>
    <w:rsid w:val="00454E84"/>
    <w:rsid w:val="0045560E"/>
    <w:rsid w:val="0045592B"/>
    <w:rsid w:val="00456ADB"/>
    <w:rsid w:val="004803CD"/>
    <w:rsid w:val="004822DB"/>
    <w:rsid w:val="00487B42"/>
    <w:rsid w:val="00491392"/>
    <w:rsid w:val="00497C45"/>
    <w:rsid w:val="004A2877"/>
    <w:rsid w:val="004B057F"/>
    <w:rsid w:val="004B62DC"/>
    <w:rsid w:val="004C163B"/>
    <w:rsid w:val="004C2BD2"/>
    <w:rsid w:val="004C34AE"/>
    <w:rsid w:val="004C41DE"/>
    <w:rsid w:val="004C6525"/>
    <w:rsid w:val="004D254C"/>
    <w:rsid w:val="004D3DCB"/>
    <w:rsid w:val="004E1FC7"/>
    <w:rsid w:val="004E4730"/>
    <w:rsid w:val="004E5EDA"/>
    <w:rsid w:val="004E6EC0"/>
    <w:rsid w:val="004F19E6"/>
    <w:rsid w:val="004F32DA"/>
    <w:rsid w:val="004F3CFA"/>
    <w:rsid w:val="004F68E4"/>
    <w:rsid w:val="00501AF4"/>
    <w:rsid w:val="00504F8B"/>
    <w:rsid w:val="00510A11"/>
    <w:rsid w:val="00510A2C"/>
    <w:rsid w:val="00515ACB"/>
    <w:rsid w:val="005347E1"/>
    <w:rsid w:val="00537F45"/>
    <w:rsid w:val="00540009"/>
    <w:rsid w:val="00541709"/>
    <w:rsid w:val="00543D3C"/>
    <w:rsid w:val="0054417A"/>
    <w:rsid w:val="005460F2"/>
    <w:rsid w:val="005518D3"/>
    <w:rsid w:val="00553E67"/>
    <w:rsid w:val="0055583B"/>
    <w:rsid w:val="00560FBA"/>
    <w:rsid w:val="0057399C"/>
    <w:rsid w:val="00574CE3"/>
    <w:rsid w:val="00581A67"/>
    <w:rsid w:val="0059641E"/>
    <w:rsid w:val="005A39F3"/>
    <w:rsid w:val="005A44DB"/>
    <w:rsid w:val="005C0D6F"/>
    <w:rsid w:val="005D061F"/>
    <w:rsid w:val="005D575B"/>
    <w:rsid w:val="005D6179"/>
    <w:rsid w:val="005E2FBB"/>
    <w:rsid w:val="005F0D39"/>
    <w:rsid w:val="005F35ED"/>
    <w:rsid w:val="005F6CD8"/>
    <w:rsid w:val="00611539"/>
    <w:rsid w:val="00617C76"/>
    <w:rsid w:val="00617D1E"/>
    <w:rsid w:val="0062500F"/>
    <w:rsid w:val="00640ACB"/>
    <w:rsid w:val="00650682"/>
    <w:rsid w:val="00655D03"/>
    <w:rsid w:val="00662ABB"/>
    <w:rsid w:val="00662CF1"/>
    <w:rsid w:val="00670C1A"/>
    <w:rsid w:val="0067339A"/>
    <w:rsid w:val="00691B59"/>
    <w:rsid w:val="006928DA"/>
    <w:rsid w:val="006976C4"/>
    <w:rsid w:val="006A1FB0"/>
    <w:rsid w:val="006B4507"/>
    <w:rsid w:val="006B562E"/>
    <w:rsid w:val="006B67FC"/>
    <w:rsid w:val="006B7C43"/>
    <w:rsid w:val="006B7CE3"/>
    <w:rsid w:val="006C0F0A"/>
    <w:rsid w:val="006C2EB7"/>
    <w:rsid w:val="006C7576"/>
    <w:rsid w:val="006D4285"/>
    <w:rsid w:val="006D51B5"/>
    <w:rsid w:val="006E2E3E"/>
    <w:rsid w:val="006E32EA"/>
    <w:rsid w:val="006E60D8"/>
    <w:rsid w:val="006F4CA3"/>
    <w:rsid w:val="00705AC8"/>
    <w:rsid w:val="007072E0"/>
    <w:rsid w:val="0071486E"/>
    <w:rsid w:val="007314EE"/>
    <w:rsid w:val="00744433"/>
    <w:rsid w:val="0075162E"/>
    <w:rsid w:val="0075200A"/>
    <w:rsid w:val="00766420"/>
    <w:rsid w:val="007831DE"/>
    <w:rsid w:val="00792833"/>
    <w:rsid w:val="007A15A7"/>
    <w:rsid w:val="007B5FD6"/>
    <w:rsid w:val="007B6008"/>
    <w:rsid w:val="007B7F1F"/>
    <w:rsid w:val="007C643B"/>
    <w:rsid w:val="007C7BA0"/>
    <w:rsid w:val="007E09AE"/>
    <w:rsid w:val="00802507"/>
    <w:rsid w:val="008075F3"/>
    <w:rsid w:val="00810B11"/>
    <w:rsid w:val="00811C44"/>
    <w:rsid w:val="00814F93"/>
    <w:rsid w:val="00817A4A"/>
    <w:rsid w:val="008201A5"/>
    <w:rsid w:val="008213A7"/>
    <w:rsid w:val="00824043"/>
    <w:rsid w:val="00827664"/>
    <w:rsid w:val="00834281"/>
    <w:rsid w:val="008476F6"/>
    <w:rsid w:val="00850D13"/>
    <w:rsid w:val="0086561E"/>
    <w:rsid w:val="008661A7"/>
    <w:rsid w:val="00867627"/>
    <w:rsid w:val="008740EE"/>
    <w:rsid w:val="00875D19"/>
    <w:rsid w:val="00886FF2"/>
    <w:rsid w:val="008874CD"/>
    <w:rsid w:val="00893EE5"/>
    <w:rsid w:val="00894E55"/>
    <w:rsid w:val="00896180"/>
    <w:rsid w:val="008A09F9"/>
    <w:rsid w:val="008A44F7"/>
    <w:rsid w:val="008A5C28"/>
    <w:rsid w:val="008A6EC5"/>
    <w:rsid w:val="008B10DA"/>
    <w:rsid w:val="008B3E2F"/>
    <w:rsid w:val="008B4455"/>
    <w:rsid w:val="008B6BB1"/>
    <w:rsid w:val="008C3C3E"/>
    <w:rsid w:val="008C40EF"/>
    <w:rsid w:val="008C428D"/>
    <w:rsid w:val="008C6ADB"/>
    <w:rsid w:val="008C7EC5"/>
    <w:rsid w:val="008D2F61"/>
    <w:rsid w:val="008E12AB"/>
    <w:rsid w:val="008E1934"/>
    <w:rsid w:val="008E30E7"/>
    <w:rsid w:val="00902F98"/>
    <w:rsid w:val="00907B6C"/>
    <w:rsid w:val="00911B66"/>
    <w:rsid w:val="00921EFD"/>
    <w:rsid w:val="00926D19"/>
    <w:rsid w:val="00933A13"/>
    <w:rsid w:val="0093490E"/>
    <w:rsid w:val="00941330"/>
    <w:rsid w:val="0094211F"/>
    <w:rsid w:val="00945B45"/>
    <w:rsid w:val="00947078"/>
    <w:rsid w:val="00954319"/>
    <w:rsid w:val="0096231A"/>
    <w:rsid w:val="009624D9"/>
    <w:rsid w:val="0096378A"/>
    <w:rsid w:val="00966EFD"/>
    <w:rsid w:val="00971FE2"/>
    <w:rsid w:val="009830B3"/>
    <w:rsid w:val="00984BA7"/>
    <w:rsid w:val="00992572"/>
    <w:rsid w:val="00996110"/>
    <w:rsid w:val="009A067A"/>
    <w:rsid w:val="009A1B01"/>
    <w:rsid w:val="009A5720"/>
    <w:rsid w:val="009A6986"/>
    <w:rsid w:val="009A7C8A"/>
    <w:rsid w:val="009B3BE6"/>
    <w:rsid w:val="009C08AE"/>
    <w:rsid w:val="009C5A33"/>
    <w:rsid w:val="009D01BB"/>
    <w:rsid w:val="009D38CB"/>
    <w:rsid w:val="009D75B0"/>
    <w:rsid w:val="009E27B1"/>
    <w:rsid w:val="009E4D93"/>
    <w:rsid w:val="009F1FC4"/>
    <w:rsid w:val="00A005CB"/>
    <w:rsid w:val="00A026CF"/>
    <w:rsid w:val="00A05FF5"/>
    <w:rsid w:val="00A07997"/>
    <w:rsid w:val="00A13477"/>
    <w:rsid w:val="00A13F03"/>
    <w:rsid w:val="00A161FB"/>
    <w:rsid w:val="00A262FB"/>
    <w:rsid w:val="00A35E38"/>
    <w:rsid w:val="00A404D9"/>
    <w:rsid w:val="00A41989"/>
    <w:rsid w:val="00A42738"/>
    <w:rsid w:val="00A43280"/>
    <w:rsid w:val="00A4639B"/>
    <w:rsid w:val="00A52FE9"/>
    <w:rsid w:val="00A56FF5"/>
    <w:rsid w:val="00A576A9"/>
    <w:rsid w:val="00A617AD"/>
    <w:rsid w:val="00A62DAB"/>
    <w:rsid w:val="00A66670"/>
    <w:rsid w:val="00A74BA8"/>
    <w:rsid w:val="00A75E17"/>
    <w:rsid w:val="00A778C5"/>
    <w:rsid w:val="00A85863"/>
    <w:rsid w:val="00A959E9"/>
    <w:rsid w:val="00AA0C39"/>
    <w:rsid w:val="00AA2B99"/>
    <w:rsid w:val="00AA7C44"/>
    <w:rsid w:val="00AB01BF"/>
    <w:rsid w:val="00AB06A9"/>
    <w:rsid w:val="00AC065E"/>
    <w:rsid w:val="00AC0B3C"/>
    <w:rsid w:val="00AC58CF"/>
    <w:rsid w:val="00AD355D"/>
    <w:rsid w:val="00AE028E"/>
    <w:rsid w:val="00AE280D"/>
    <w:rsid w:val="00AE2C80"/>
    <w:rsid w:val="00AE68C3"/>
    <w:rsid w:val="00B00D34"/>
    <w:rsid w:val="00B0301F"/>
    <w:rsid w:val="00B05712"/>
    <w:rsid w:val="00B10D0F"/>
    <w:rsid w:val="00B1208A"/>
    <w:rsid w:val="00B174E4"/>
    <w:rsid w:val="00B240AD"/>
    <w:rsid w:val="00B24A98"/>
    <w:rsid w:val="00B27AD5"/>
    <w:rsid w:val="00B308A0"/>
    <w:rsid w:val="00B4276D"/>
    <w:rsid w:val="00B42F44"/>
    <w:rsid w:val="00B43CE1"/>
    <w:rsid w:val="00B43DD7"/>
    <w:rsid w:val="00B44498"/>
    <w:rsid w:val="00B51C88"/>
    <w:rsid w:val="00B524AB"/>
    <w:rsid w:val="00B545EB"/>
    <w:rsid w:val="00B55F67"/>
    <w:rsid w:val="00B61548"/>
    <w:rsid w:val="00B66DF5"/>
    <w:rsid w:val="00B679CA"/>
    <w:rsid w:val="00B706E1"/>
    <w:rsid w:val="00B70FD6"/>
    <w:rsid w:val="00B71D96"/>
    <w:rsid w:val="00B73251"/>
    <w:rsid w:val="00B75D16"/>
    <w:rsid w:val="00B75ECE"/>
    <w:rsid w:val="00B80421"/>
    <w:rsid w:val="00B92F16"/>
    <w:rsid w:val="00B93B10"/>
    <w:rsid w:val="00B94BFB"/>
    <w:rsid w:val="00B95BA7"/>
    <w:rsid w:val="00B97825"/>
    <w:rsid w:val="00B97A6C"/>
    <w:rsid w:val="00BC1D7A"/>
    <w:rsid w:val="00BC1F0D"/>
    <w:rsid w:val="00BC673A"/>
    <w:rsid w:val="00BD04F1"/>
    <w:rsid w:val="00BD609A"/>
    <w:rsid w:val="00BD6AAB"/>
    <w:rsid w:val="00BD75BD"/>
    <w:rsid w:val="00BE0BB8"/>
    <w:rsid w:val="00BE2139"/>
    <w:rsid w:val="00BE561F"/>
    <w:rsid w:val="00BE774B"/>
    <w:rsid w:val="00BF1DBB"/>
    <w:rsid w:val="00C0139A"/>
    <w:rsid w:val="00C06548"/>
    <w:rsid w:val="00C11FEF"/>
    <w:rsid w:val="00C146E2"/>
    <w:rsid w:val="00C202C7"/>
    <w:rsid w:val="00C217A5"/>
    <w:rsid w:val="00C27D5E"/>
    <w:rsid w:val="00C32FEE"/>
    <w:rsid w:val="00C42F62"/>
    <w:rsid w:val="00C50F17"/>
    <w:rsid w:val="00C544A0"/>
    <w:rsid w:val="00C54C32"/>
    <w:rsid w:val="00C62D44"/>
    <w:rsid w:val="00C84A75"/>
    <w:rsid w:val="00C94C8D"/>
    <w:rsid w:val="00CA337B"/>
    <w:rsid w:val="00CA6EB7"/>
    <w:rsid w:val="00CB7058"/>
    <w:rsid w:val="00CC0F93"/>
    <w:rsid w:val="00CC2AF6"/>
    <w:rsid w:val="00CC4547"/>
    <w:rsid w:val="00CC7FDD"/>
    <w:rsid w:val="00CD2A61"/>
    <w:rsid w:val="00CD490D"/>
    <w:rsid w:val="00CD54B1"/>
    <w:rsid w:val="00CD7EDD"/>
    <w:rsid w:val="00CE12E1"/>
    <w:rsid w:val="00CE2278"/>
    <w:rsid w:val="00CE3C67"/>
    <w:rsid w:val="00CF037C"/>
    <w:rsid w:val="00CF2B19"/>
    <w:rsid w:val="00D02E91"/>
    <w:rsid w:val="00D04636"/>
    <w:rsid w:val="00D06261"/>
    <w:rsid w:val="00D22A21"/>
    <w:rsid w:val="00D24B12"/>
    <w:rsid w:val="00D270C5"/>
    <w:rsid w:val="00D27953"/>
    <w:rsid w:val="00D36C44"/>
    <w:rsid w:val="00D41050"/>
    <w:rsid w:val="00D50312"/>
    <w:rsid w:val="00D54F08"/>
    <w:rsid w:val="00D713DE"/>
    <w:rsid w:val="00D73F96"/>
    <w:rsid w:val="00D778BC"/>
    <w:rsid w:val="00D807C7"/>
    <w:rsid w:val="00D842F1"/>
    <w:rsid w:val="00D869A1"/>
    <w:rsid w:val="00D9046B"/>
    <w:rsid w:val="00D906C5"/>
    <w:rsid w:val="00D90FDE"/>
    <w:rsid w:val="00DA0AA4"/>
    <w:rsid w:val="00DA16A8"/>
    <w:rsid w:val="00DA21F6"/>
    <w:rsid w:val="00DA3AB3"/>
    <w:rsid w:val="00DA6372"/>
    <w:rsid w:val="00DB01C9"/>
    <w:rsid w:val="00DB0C66"/>
    <w:rsid w:val="00DB3C30"/>
    <w:rsid w:val="00DB4B3A"/>
    <w:rsid w:val="00DB6E31"/>
    <w:rsid w:val="00DB72F3"/>
    <w:rsid w:val="00DC2BA4"/>
    <w:rsid w:val="00DC3167"/>
    <w:rsid w:val="00DC447A"/>
    <w:rsid w:val="00DD3C80"/>
    <w:rsid w:val="00DD62E5"/>
    <w:rsid w:val="00DE16EF"/>
    <w:rsid w:val="00DE7C74"/>
    <w:rsid w:val="00DF0074"/>
    <w:rsid w:val="00DF2FA3"/>
    <w:rsid w:val="00DF39BB"/>
    <w:rsid w:val="00DF3D1E"/>
    <w:rsid w:val="00E0047D"/>
    <w:rsid w:val="00E021AF"/>
    <w:rsid w:val="00E102F7"/>
    <w:rsid w:val="00E10430"/>
    <w:rsid w:val="00E130AB"/>
    <w:rsid w:val="00E15273"/>
    <w:rsid w:val="00E21A1D"/>
    <w:rsid w:val="00E230AE"/>
    <w:rsid w:val="00E23531"/>
    <w:rsid w:val="00E2524B"/>
    <w:rsid w:val="00E257D3"/>
    <w:rsid w:val="00E27489"/>
    <w:rsid w:val="00E444A2"/>
    <w:rsid w:val="00E460B8"/>
    <w:rsid w:val="00E566B7"/>
    <w:rsid w:val="00E61CE6"/>
    <w:rsid w:val="00E6722A"/>
    <w:rsid w:val="00E71712"/>
    <w:rsid w:val="00E776EB"/>
    <w:rsid w:val="00E77DAE"/>
    <w:rsid w:val="00E82AF4"/>
    <w:rsid w:val="00E84BA1"/>
    <w:rsid w:val="00E85408"/>
    <w:rsid w:val="00E91FD7"/>
    <w:rsid w:val="00E94B6B"/>
    <w:rsid w:val="00EA1864"/>
    <w:rsid w:val="00EA4C32"/>
    <w:rsid w:val="00EB548D"/>
    <w:rsid w:val="00EC0524"/>
    <w:rsid w:val="00EC3A63"/>
    <w:rsid w:val="00EC4FC3"/>
    <w:rsid w:val="00ED258B"/>
    <w:rsid w:val="00ED75C1"/>
    <w:rsid w:val="00EF58E2"/>
    <w:rsid w:val="00F01700"/>
    <w:rsid w:val="00F02D32"/>
    <w:rsid w:val="00F0483F"/>
    <w:rsid w:val="00F12B60"/>
    <w:rsid w:val="00F1347E"/>
    <w:rsid w:val="00F14988"/>
    <w:rsid w:val="00F14AAF"/>
    <w:rsid w:val="00F21947"/>
    <w:rsid w:val="00F22AB0"/>
    <w:rsid w:val="00F27DD3"/>
    <w:rsid w:val="00F32207"/>
    <w:rsid w:val="00F40F37"/>
    <w:rsid w:val="00F41AD2"/>
    <w:rsid w:val="00F42031"/>
    <w:rsid w:val="00F42B7A"/>
    <w:rsid w:val="00F47930"/>
    <w:rsid w:val="00F50435"/>
    <w:rsid w:val="00F514D8"/>
    <w:rsid w:val="00F52609"/>
    <w:rsid w:val="00F53AD6"/>
    <w:rsid w:val="00F54B1B"/>
    <w:rsid w:val="00F559B5"/>
    <w:rsid w:val="00F565E7"/>
    <w:rsid w:val="00F664C5"/>
    <w:rsid w:val="00F670F7"/>
    <w:rsid w:val="00F6778E"/>
    <w:rsid w:val="00F769B9"/>
    <w:rsid w:val="00F80713"/>
    <w:rsid w:val="00F82545"/>
    <w:rsid w:val="00F86B41"/>
    <w:rsid w:val="00F86B61"/>
    <w:rsid w:val="00F86B99"/>
    <w:rsid w:val="00F90F5E"/>
    <w:rsid w:val="00F91337"/>
    <w:rsid w:val="00F96306"/>
    <w:rsid w:val="00F970C7"/>
    <w:rsid w:val="00FA301B"/>
    <w:rsid w:val="00FA77D3"/>
    <w:rsid w:val="00FB2C31"/>
    <w:rsid w:val="00FB61F3"/>
    <w:rsid w:val="00FC4162"/>
    <w:rsid w:val="00FC6681"/>
    <w:rsid w:val="00FD4FD8"/>
    <w:rsid w:val="00FD638E"/>
    <w:rsid w:val="00FE0059"/>
    <w:rsid w:val="00FE1199"/>
    <w:rsid w:val="00FE202C"/>
    <w:rsid w:val="00FE238B"/>
    <w:rsid w:val="00FE2E24"/>
    <w:rsid w:val="00FE361F"/>
    <w:rsid w:val="00FF760F"/>
    <w:rsid w:val="039B465D"/>
    <w:rsid w:val="1D4D04C7"/>
    <w:rsid w:val="6120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26"/>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99"/>
    <w:pPr>
      <w:jc w:val="left"/>
    </w:pPr>
  </w:style>
  <w:style w:type="paragraph" w:styleId="6">
    <w:name w:val="Date"/>
    <w:basedOn w:val="1"/>
    <w:next w:val="1"/>
    <w:link w:val="27"/>
    <w:semiHidden/>
    <w:unhideWhenUsed/>
    <w:uiPriority w:val="99"/>
    <w:pPr>
      <w:ind w:left="100" w:leftChars="2500"/>
    </w:pPr>
  </w:style>
  <w:style w:type="paragraph" w:styleId="7">
    <w:name w:val="Balloon Text"/>
    <w:basedOn w:val="1"/>
    <w:link w:val="20"/>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pPr>
  </w:style>
  <w:style w:type="paragraph" w:styleId="12">
    <w:name w:val="annotation subject"/>
    <w:basedOn w:val="5"/>
    <w:next w:val="5"/>
    <w:link w:val="25"/>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uiPriority w:val="99"/>
    <w:rPr>
      <w:sz w:val="18"/>
      <w:szCs w:val="18"/>
    </w:rPr>
  </w:style>
  <w:style w:type="character" w:customStyle="1" w:styleId="20">
    <w:name w:val="批注框文本 字符"/>
    <w:basedOn w:val="15"/>
    <w:link w:val="7"/>
    <w:semiHidden/>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字符"/>
    <w:basedOn w:val="15"/>
    <w:link w:val="2"/>
    <w:qFormat/>
    <w:uiPriority w:val="9"/>
    <w:rPr>
      <w:b/>
      <w:bCs/>
      <w:kern w:val="44"/>
      <w:sz w:val="44"/>
      <w:szCs w:val="44"/>
    </w:rPr>
  </w:style>
  <w:style w:type="character" w:customStyle="1" w:styleId="23">
    <w:name w:val="标题 2 字符"/>
    <w:basedOn w:val="15"/>
    <w:link w:val="3"/>
    <w:qFormat/>
    <w:uiPriority w:val="9"/>
    <w:rPr>
      <w:rFonts w:asciiTheme="majorHAnsi" w:hAnsiTheme="majorHAnsi" w:eastAsiaTheme="majorEastAsia" w:cstheme="majorBidi"/>
      <w:b/>
      <w:bCs/>
      <w:sz w:val="32"/>
      <w:szCs w:val="32"/>
    </w:rPr>
  </w:style>
  <w:style w:type="character" w:customStyle="1" w:styleId="24">
    <w:name w:val="批注文字 字符"/>
    <w:basedOn w:val="15"/>
    <w:link w:val="5"/>
    <w:semiHidden/>
    <w:qFormat/>
    <w:uiPriority w:val="99"/>
  </w:style>
  <w:style w:type="character" w:customStyle="1" w:styleId="25">
    <w:name w:val="批注主题 字符"/>
    <w:basedOn w:val="24"/>
    <w:link w:val="12"/>
    <w:semiHidden/>
    <w:qFormat/>
    <w:uiPriority w:val="99"/>
    <w:rPr>
      <w:b/>
      <w:bCs/>
    </w:rPr>
  </w:style>
  <w:style w:type="character" w:customStyle="1" w:styleId="26">
    <w:name w:val="标题 5 字符"/>
    <w:basedOn w:val="15"/>
    <w:link w:val="4"/>
    <w:semiHidden/>
    <w:qFormat/>
    <w:uiPriority w:val="9"/>
    <w:rPr>
      <w:b/>
      <w:bCs/>
      <w:sz w:val="28"/>
      <w:szCs w:val="28"/>
    </w:rPr>
  </w:style>
  <w:style w:type="character" w:customStyle="1" w:styleId="27">
    <w:name w:val="日期 字符"/>
    <w:basedOn w:val="15"/>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7C394-29B1-425F-B9DF-3BF73B4DEB4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652</Words>
  <Characters>3721</Characters>
  <Lines>31</Lines>
  <Paragraphs>8</Paragraphs>
  <TotalTime>4687</TotalTime>
  <ScaleCrop>false</ScaleCrop>
  <LinksUpToDate>false</LinksUpToDate>
  <CharactersWithSpaces>4365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2020-07-17T03:29:00Z</dcterms:created>
  <dc:creator>dimin</dc:creator>
  <cp:lastModifiedBy>A.Ray</cp:lastModifiedBy>
  <dcterms:modified xsi:type="dcterms:W3CDTF">2020-11-09T12:18:01Z</dcterms:modified>
  <cp:revision>1392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